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№ 2 к письму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Перечни нормативных правовых актов (далее - НПА),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вступающих в силу с 01.03.2022 и позднее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7"/>
        <w:gridCol w:w="60"/>
        <w:gridCol w:w="2603"/>
        <w:gridCol w:w="1880"/>
        <w:gridCol w:w="4589"/>
      </w:tblGrid>
      <w:tr>
        <w:trPr/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Перечень нормативных правовых актов,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вступающих в силу с 01.03.2022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НПА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Взамен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Краткие пояснения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02.07.2021 № 311-ФЗ «О внесении изменений в Трудовой кодекс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 Х Раздел ТК РФ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 начнут действовать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изменения, которые затронули ст. 22, 76, 157, 185, 253, Раздел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X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Трудового кодекса Российской Федерации.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Основными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изменениями являются следующие: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риск - ориентированный подход в процедурах системы управления охраной труда;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увеличен объем обязанностей работодателя и работника в области охраны труда;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закреплены процедуры оценки профессиональных рисков (далее - ОПР), учета микроповреждений (микротравм);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запрет работы в опасных условиях труда;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подрядными организациями;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самообследование работодателя;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электронный документооборот;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принципы обеспечения безопасности труда и т. д.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Согласно статье 22 ТК РФ работодатель имеет право проводить самообследование на предмет соблюдения требований трудового законодательства, например, на сайте Онлайниспекция.ру в интерактивном сервисе «Электронный инспектор».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Согласно ст. 76 ТК РФ работодатель обязан отстранить от работы работника, не применяющего в установленном порядке выданные ему средства индивидуальной защиты (далее - СИЗ), применени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является обязательным при выполнении работ с вредными и (или) опасными условиями труда, а также на работах, выполняемых в особо температурных условиях.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Согласно ст. 185 ТК РФ  с 01.03.2022 у работника сохраняется средний заработок и место работы не только во время прохождения медицинского осмотра, но и при прохождении обязательного психиатрического освидетельстования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 РФ от 29.10.2021 № 776н «Об утверждении примерного положения о системе управления охраной труда»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19.08.2016 № 438н «Об утверждении Типового положения о системе управления охраной труда»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Создание </w:t>
            </w:r>
            <w:r>
              <w:rPr>
                <w:rFonts w:eastAsia="Times New Roman" w:cs="Times New Roman" w:ascii="PT Serif" w:hAnsi="PT Serif"/>
                <w:color w:val="000000"/>
                <w:kern w:val="0"/>
                <w:sz w:val="20"/>
                <w:szCs w:val="20"/>
                <w:lang w:val="ru-RU" w:eastAsia="ru-RU" w:bidi="ar-SA"/>
              </w:rPr>
              <w:t>системы управления охраной труда (далее - СУОТ)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 с учетом специфики деятельности работодателя. В Положении обозначены основные процессы по охране труда (</w:t>
            </w:r>
            <w:r>
              <w:rPr>
                <w:rFonts w:eastAsia="Times New Roman" w:cs="Times New Roman" w:ascii="PT Serif" w:hAnsi="PT Serif"/>
                <w:color w:val="000000"/>
                <w:kern w:val="0"/>
                <w:sz w:val="20"/>
                <w:szCs w:val="20"/>
                <w:lang w:val="ru-RU" w:eastAsia="ru-RU" w:bidi="ar-SA"/>
              </w:rPr>
              <w:t>СУОТ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, ОПР, обеспечение работников СИЗ, реагирование на несчастные случаи, на аварийные ситуации), приведены примерные перечни опасностей и мер по управлению ими в рамках СУОТ; работы повышенной опасности, к организации которых и к обучению которым предъявляются отдельные требования. Указанные процессы должны быть определены отдельными </w:t>
            </w:r>
            <w:r>
              <w:rPr>
                <w:rFonts w:eastAsia="Times New Roman" w:cs="Times New Roman" w:ascii="PT Serif" w:hAnsi="PT Serif"/>
                <w:color w:val="000000"/>
                <w:kern w:val="0"/>
                <w:sz w:val="20"/>
                <w:szCs w:val="20"/>
                <w:lang w:val="ru-RU" w:eastAsia="ru-RU" w:bidi="ar-SA"/>
              </w:rPr>
              <w:t>локальными нормативными актами работодателя (далее — ЛНА)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>, либо могут включаться в раздел</w:t>
            </w:r>
            <w:r>
              <w:rPr>
                <w:rFonts w:eastAsia="Times New Roman" w:cs="Times New Roman" w:ascii="PT Serif" w:hAnsi="PT Serif"/>
                <w:color w:val="000000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 Положения о СУОТ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Минздрав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а 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sz w:val="20"/>
                <w:szCs w:val="20"/>
              </w:rPr>
              <w:t>2012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В числе новых мероприятий - приобретение приборов, устройств, оборудования (их комплексов), обеспечивающих видео-, аудио или иную фиксацию процессов выполнения работ, а также 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безопасности работ на высоте и разработка и приобретение электронных программ документооборота в области охраны труда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01.03.2022 работодатель, осуществляющий производство работ (оказание услуг) на территории, находящейся под контролем другого работодателя (иного лица, обязан согласовать с ним  перечень мероприятий по предотвращению случаев повреждения здоровья работников перед началом производства работ (оказания услуг) (ст. 214 ТК РФ). В перечне мероприятий указываются организационные, технические, лечебно-профилактические, санитарно-бытовые мероприятия, а также мероприятия по обеспечению СИЗ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по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2028)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Минтруда России от 17.12.2002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Перечень правил (стандартов) и инструкций по охране труда разрабатывается работодателем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 Документом определено, что должн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shd w:fill="FFFFFF" w:val="clear"/>
                <w:lang w:val="ru-RU" w:eastAsia="zh-CN" w:bidi="hi-IN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 содержать инструкция и правила по охране труда 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15.09.2021 № 632н «Об утверждении рекомендаций по учету микроповреждений (микротравм) работников»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1 марта работодатель обязан обеспечить учет и рассмотрение причин и обстоятельств событий, приведших к возникновению микроповреждений (микротравм) (ст. 214 ТК РФ). Рекомендации содержат практические инструменты по реализации требований ТК РФ по учету и рассмотрению причин микроповреждений (микротравм) работников, в том числе: рекомендуемый порядок учета микроповреждений (микротравм), форму справки о рассмотрении причин микротравм, журнал учета микротравм 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Приказ Минтруда России от 22.09.2021 № 650н «Об утверждении примерного положения о комитете (комиссии) по охране труда»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Приказ Министерства труда и социальной защиты Российской Федерации от 24.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№ 412н «Об утверждении Типового положения о комитете (комиссии) по охране труда»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Увеличен перечень задач и функций членов комиссии по охране труда, в том числе по разработке программы действий по обеспечению соблюдения требований охраны труда, участие в организации контроля за состоянием условий труда на рабочих местах, рассмотрение результатов СОУТ и оценки профессиональных рисков. Комиссия является составной частью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СУОТ</w:t>
            </w:r>
            <w:r>
              <w:rPr>
                <w:color w:val="000000"/>
                <w:sz w:val="20"/>
                <w:szCs w:val="20"/>
              </w:rPr>
              <w:t xml:space="preserve"> у работодателя, а также одной из форм участия работников в управлении охраной труда. Комиссия создается по инициативе работодателя и (или)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Приказ Минтруда России  от 28.12.2021 № 796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01.03.2022</w:t>
            </w:r>
            <w:r>
              <w:rPr>
                <w:color w:val="000000"/>
                <w:sz w:val="20"/>
                <w:szCs w:val="20"/>
              </w:rPr>
              <w:t xml:space="preserve"> работодатель обязан проводить оценку управления профессиональными рисками согласно статьям 214, 218 ТК РФ. Рекомендации содержат критерии по выбор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 методов оценки уровней профессиональных рисков в зависимости от организации и отрасли. Указанные рекомендации не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запрещают</w:t>
            </w:r>
            <w:r>
              <w:rPr>
                <w:color w:val="000000"/>
                <w:sz w:val="20"/>
                <w:szCs w:val="20"/>
              </w:rPr>
              <w:t xml:space="preserve"> работодателю использовать иные методы, кроме указанных в Рекомендациях или разработать собственный метод оценки уровня профессиональных рисков, исходя из специфики своей деятельности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29.10.2021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Style15"/>
                <w:i w:val="false"/>
                <w:iCs w:val="false"/>
                <w:color w:val="000000"/>
                <w:sz w:val="20"/>
                <w:szCs w:val="20"/>
              </w:rPr>
              <w:t xml:space="preserve">Согласно статьям 214, 216.2 ТК РФ работодатель обязан  обеспечить 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  </w:t>
            </w:r>
            <w:r>
              <w:rPr>
                <w:rStyle w:val="Style15"/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целях обеспечения права работника на информирование о своих трудовых правах </w:t>
            </w:r>
            <w:r>
              <w:rPr>
                <w:color w:val="000000"/>
                <w:sz w:val="20"/>
                <w:szCs w:val="20"/>
              </w:rPr>
              <w:t xml:space="preserve">Минтрудом России утверждены формы (способы) информирования работников и примерный перечень информационных материалов, а также </w:t>
            </w:r>
            <w:r>
              <w:rPr>
                <w:color w:val="000000"/>
                <w:sz w:val="20"/>
                <w:szCs w:val="20"/>
                <w:shd w:fill="FFFFFF" w:val="clear"/>
              </w:rPr>
              <w:t>рекомендаци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и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>
            <w:pPr>
              <w:pStyle w:val="S1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Работодатель может применять любые перечисленные способы информирования по отдельности или совместно, а также иные предусмотренные законом формы информирования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Приказ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Постановление Минтруда 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от 17.01.2001 № 7  «Об 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утверждении Рекомендаций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по организации работы кабинета охраны труда и уголка охраны труда»</w:t>
            </w:r>
          </w:p>
        </w:tc>
        <w:tc>
          <w:tcPr>
            <w:tcW w:w="458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29.10.2021  № 774н «Об утверждении общих требований к организации безопасного рабочего места»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по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2028)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Согласно ст. 214 ТК РФ в будущей редакции работодатель обязан организовать безопасные условия труда для работников. В раках реализации положений ст. 209 ТК РФ Минтрудом России утверждены нормы, устанавливающие требования к организации безопасного рабочего места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14.09.2021 № 629н «Об утверждении предельно допустимых норм нагрузок для женщин при подъёме и перемещении тяжестей вручную»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по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6 февраля 1993 г. № 105 «О новых нормах предельно допустимых нагрузок для женщин при подъеме и перемещении тяжестей вручную»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Минтруд обновил предельно допустимые нормы нагрузок для женщин при подъеме и перемещении тяжестей вручную. Новые нормы скорректированы в соответсвии с показателями Приложения № 20 к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етодике проведения специальной оценки условий труда (приказ Минтруда России от 24.11.2014 № 33н). Согласно ст. 253 ТК РФ запрещается применение труда женщин на работах, связанных с подъемом и перемещением вручную тяжестей, превышающих предельно допустимые для них нормы.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Таким образом</w:t>
            </w:r>
            <w:r>
              <w:rPr>
                <w:color w:val="000000"/>
                <w:sz w:val="20"/>
                <w:szCs w:val="20"/>
              </w:rPr>
              <w:t>, в случ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ае установления на рабочем месте женщины  вредных условий труда (3.1, 3.2 класс) по показателю масса поднимаемого и перемещаемого груза вручную, работодатель может быть привлечен к административной ответственности за нарушение государственных нормативных требований охраны труда, содержащихся в федеральных и иных нормативных правовых актах РФ (КоАП РФ ч. 1 ст. 5.27.1) </w:t>
            </w:r>
            <w:r>
              <w:rPr>
                <w:rFonts w:ascii="PT Serif" w:hAnsi="PT Serif"/>
                <w:color w:val="000000"/>
                <w:sz w:val="23"/>
                <w:szCs w:val="23"/>
              </w:rPr>
              <w:t xml:space="preserve"> 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13.05.2021 № 313н «О внесении изменений в приказ Министерства труда и социальной защиты Российской Федерации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по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НПА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Изменениями вступающими в силу с 01.03.2022 определены конкретные виды профессий, в отношении которых ограничивается применение женского труда, для котельных, холодноштамповочных, волочильных и давильных работ, а также работ по монтажу, обслуживанию и ремонту технологического и нефтепромыслового оборудования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17.06.2021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по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0"/>
                <w:szCs w:val="20"/>
                <w:lang w:val="ru-RU" w:eastAsia="zh-CN" w:bidi="hi-IN"/>
              </w:rPr>
              <w:t>01.03.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Минтруда России от 7 февраля 2014 года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Минтрудом России установлены новые требования к форме и Порядку подачи декларации соответствия условий труда государственным нормативным требованиям охраны труда, а также Порядку формирования и ведения реестра деклараций. Срок подачи декларации (30 рабочих дней) будет отсчитываться со дня внесения сведений о результатах проведения СОУТ в ФГИС СОУТ. Форма декларации практически не изменилась за исключением того, что уточняющие ссылки под формой перенесены непосредственно в порядок подачи декларации 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>Приказ Минтруда России от 22.10.2021 № 757н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0"/>
                <w:szCs w:val="20"/>
                <w:lang w:val="ru-RU" w:eastAsia="zh-CN" w:bidi="hi-IN"/>
              </w:rPr>
              <w:t>01.03.2022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, за некоторым исключени</w:t>
            </w: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0"/>
                <w:szCs w:val="20"/>
                <w:lang w:val="ru-RU" w:eastAsia="zh-CN" w:bidi="hi-IN"/>
              </w:rPr>
              <w:t>ем)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>приказ Минтруда России от 24.01.2014 № 32н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Утверждены новые требования к формированию и ведению реестра экспертов организаций в сфере СОУТ, а также к форме сертификата эксперта, технические требования к сертификату и правила его заполнения. </w:t>
            </w:r>
          </w:p>
          <w:p>
            <w:pPr>
              <w:pStyle w:val="S1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частности, выданные после 01.03.2022 сертификаты эксперта будут представляться в электронном виде с уникальным номером, на что, стоит обратить внимание при организации процедуры проведения СОУТ в организации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Приказ Минтруда России от 29.10.2021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  <w:lang w:val="ru-RU" w:eastAsia="zh-CN" w:bidi="hi-IN"/>
              </w:rPr>
              <w:t>№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 775н «Об утверждении Порядка проведения государственной экспертизы условий труда»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Приказ Минтруда 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000000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 от 12.08.20214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  <w:lang w:val="ru-RU" w:eastAsia="zh-CN" w:bidi="hi-IN"/>
              </w:rPr>
              <w:t>№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 549н «Об утверждении порядка проведения государственной экспертизы условий труда»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Государственная экспертиза условий труда (ГЭУТ) осуществляется в целях оценки качества проведения СОУТ, правильности предоставления работникам гарантий и компенсаций за 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работу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с вредными и (или) опасными 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условиями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труда, фактических условий труда работников.  Государственная экспертиза условий труда осуществляется на основании: заявления органов власти, комиссий по расследованию несчастных случаев, работодателей, их объединений, работников, профсоюзов, их объединений,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 xml:space="preserve">государственных внебюджетных фондов 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РФ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, организаций, проводивших СОУТ, определени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000000"/>
                <w:kern w:val="2"/>
                <w:sz w:val="20"/>
                <w:szCs w:val="20"/>
                <w:lang w:val="ru-RU" w:eastAsia="zh-CN" w:bidi="hi-IN"/>
              </w:rPr>
              <w:t>й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 суда, представлени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000000"/>
                <w:kern w:val="2"/>
                <w:sz w:val="20"/>
                <w:szCs w:val="20"/>
                <w:lang w:val="ru-RU" w:eastAsia="zh-CN" w:bidi="hi-IN"/>
              </w:rPr>
              <w:t>й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 инспекций труда и Роспотребнадзора, заключения Роструда о рассмотрении несогласия с заключением экспертизы качества СОУТ</w:t>
            </w:r>
          </w:p>
        </w:tc>
      </w:tr>
      <w:tr>
        <w:trPr/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Приказ Минтруда России от 28.10.2021 № 765н «Об утверждении типовых форм документов, необходимых для проведения государственной экспертизы условий труда»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 xml:space="preserve">(действует с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0"/>
                <w:szCs w:val="20"/>
                <w:lang w:val="ru-RU" w:eastAsia="zh-CN" w:bidi="hi-IN"/>
              </w:rPr>
              <w:t>01.03.2022)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Минтруд утвердил типовые формы документов, применяемых в рамках государственной экспертизы условий труда, в том числе: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заявление на проведение госэкспертизы;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согласие на обработку персональных данных;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представление госинспекции труда о проведении экспертизы;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запрос документации у работодателя, рабочие места которого проходят экспертизу;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запрос документации в судебном органе;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заявление о возврате денежных средств;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заключения экспертизы;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представление госэксперта (экспертной комиссии) о назначении исследований (испытаний) и измерений вредных и (или) опасных факторов производственной среды и трудового процесса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Перечень НПА,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которые вводятся в действие позднее 01.03.2022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НПА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Взамен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Краткие пояснения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Постановление Правительства 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РФ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(далее — постановление № 2334)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(действует с 01.09.2022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по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01.09.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2028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)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 xml:space="preserve">Приказ Министерства здравоохранения и социального развития </w:t>
            </w: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0"/>
                <w:szCs w:val="20"/>
                <w:shd w:fill="FFFFFF" w:val="clear"/>
                <w:lang w:val="ru-RU" w:eastAsia="zh-CN" w:bidi="hi-IN"/>
              </w:rPr>
              <w:t>РФ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0"/>
                <w:szCs w:val="20"/>
                <w:shd w:fill="FFFFFF" w:val="clear"/>
                <w:lang w:val="ru-RU" w:eastAsia="zh-CN" w:bidi="hi-IN"/>
              </w:rPr>
              <w:t>01.04.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 xml:space="preserve">2010 № 205н «Об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труда» 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Правительством РФ установлен порядок проведения обязательной аккредитации организаций и индивидуальных предпринимателей, оказывающих услуги в области охраны труда.</w:t>
            </w:r>
          </w:p>
          <w:p>
            <w:pPr>
              <w:pStyle w:val="S1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ккредитация организаций, зарегистрированных в реестре аккредитованных организаций, оказывающих услуги в области охраны труда до 01.09.2022, подлежит приостановлению с 01.03.2023 до подтверждения соответствия </w:t>
            </w:r>
            <w:r>
              <w:fldChar w:fldCharType="begin"/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color w:val="000000"/>
              </w:rPr>
              <w:instrText> HYPERLINK "https://home.garant.ru/" \l "/document/403280887/entry/2000"</w:instrText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color w:val="000000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требованиям</w:t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color w:val="000000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, утвержденным указанным постановлением. В случае неподтверждения такими организациями после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01.03.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2023 соответствия требованиям, утвержденным постановлением, их аккредитация прекращается с исключением из реестра аккредитованных организаций, оказывающих услуги в области охраны труда, с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01.09.2023.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Аккредитация в области охраны труда не требуется в случае, когда работодателем создается служба охраны труда или вводится должность специалиста по охране труда, а также в случае, когда работодателем организуется проведение обучения и </w:t>
            </w:r>
            <w:bookmarkStart w:id="0" w:name="ext-gen5257"/>
            <w:bookmarkEnd w:id="0"/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проверка знания требований охраны труда своих работников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24.12.2021 № 2464 «О порядке обучения по охране труда и проверки знания требований охраны труда» (далее — постановление № 2464)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(действует с 01.09.2022 до 01.09.2026, за исключением некоторы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х </w:t>
            </w:r>
            <w:r>
              <w:rPr>
                <w:sz w:val="20"/>
                <w:szCs w:val="20"/>
              </w:rPr>
              <w:t>пункт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ов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Минтруда России, Минобразования России от 13.01.2003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1/29 «Об утверждении Порядка обучения по охране труда и проверки знаний требований охраны труда работников организаций»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У</w:t>
            </w:r>
            <w:r>
              <w:rPr>
                <w:sz w:val="20"/>
                <w:szCs w:val="20"/>
              </w:rPr>
              <w:t>становлены обязательные требования к обучению по охране труда и проверке знания требований охраны труда у работников, заключивших трудовой договор с работодателем, а также требования к организациям и индивидуальным предпринимателям, оказывающим услуги по обучению работодателей и работников вопросам охраны труда.</w:t>
            </w:r>
          </w:p>
          <w:p>
            <w:pPr>
              <w:pStyle w:val="S1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 xml:space="preserve">Организации и индивидуальные предприниматели, оказывающие услуги по обучению работодателей и работников вопросам охраны труда, должны быть аккредитованы и соответствовать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"/document/403280887/entry/2000"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требованиям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установленным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"/document/403280887/entry/0"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постановлением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№ 2334. 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по охране труда осуществляется в ходе проведения: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а) инструктажей по охране труда;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стажировки на рабочем месте;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в) обучения по оказанию первой помощи пострадавшим;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г) обучения по использованию (применению) средств индивидуальной защиты;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обучения по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труда. 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принятии решения работодателем проводить обучение по охране труда собственными силами, необходимо будет пройти бесплатную регистрацию в реестре индивидуальных предпринимателей и юридических лиц, осуществляющих деятельность по обучению своих работников вопросам охраны труда с 01.03.2023 года и с последующим внесением данных об обученных в Реестр обученных лиц.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этом с 01.03.2023 проверку знаний требований охраны труда могут проводить только члены комиссии, прошедшие соответствующую проверку с использованием единой общероссийской справочно-информационной системы по охране труда в информационно-телекоммуникационной сети «Интернет» (п. 78 постановления № 2464)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Минтруда России от 29.09.2021 № 664н «Об утверждении особенностей проведения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рабочих местах медицинских работников, непосредственно оказывающих паллиативную медицинскую помощь в соответствии со своими должностными обязанностями и осуществляющих указанную деятельность в медицинских организациях или структурных подразделениях медицинских организаций, специализирующихся на оказании паллиативной медицинской помощи»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 до 31.08.2028)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Вводится впервые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Минтрудом России утверждены особенности проведения специальной оценки условий труда(далее - СОУТ) на рабочих местах медицинских работников, непосредственно оказывающих паллиативную медицинскую помощь в медицинских организациях или структурных подразделениях медицинских организаций, специализирующихся на оказании паллиативной медицинской помощи.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Обязательным исследованиям (испытаниям) и измерениям на рабочих местах подлежат следующие вредные и (или) опасные производственные факторы: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а) химический фактор;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б) биологический фактор (учитываются статистические данные об имеющихся (имевшихся) инфекционных заболеваниях у лиц, которым оказывается соответствующая помощь или уход);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в) неионизирующее излучение (при использовании медицинского оборудования, являющегося источником указанного фактора);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г) ионизирующее излучение (при использовании медицинского оборудования, являющегося источником указанного фактора);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д) параметры микроклимата (устанавливается итоговый класс условий труда 3.1 при наличии на рабочем месте неустранимого адорогенного компонента);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е) тяжесть трудового процесса (устанавливается итоговый класс условий труда не ниже 3.2 при наличии на рабочих местах соответствующих действий);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ж) напряженность трудового процесса.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Экспертом СОУТ дополнительно оформляется протокол травмоопасности, в котором учитывается возможность осуществления на объектах оценки травмоопасности действий третьих лиц или пациентов, способных создать угрозу жизни и здоровью медицинских работников.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Если условия труда по результатам оценки травмоопасности отнесены к опасному классу, то итоговый класс (подкласс) условий труда на таких рабочих местах повышается на одну степень. 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РФ от 16.12.2021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2332 «О порядке допуска организаций к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их регистрации в реестре организаций, проводящих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приостановления и прекращения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 до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>2028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30.06.2014 № 599 «О порядке допуска организаций к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их регистрации в реестре организаций, проводящих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приостановления и прекращения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формирования и ведения реестра организаций, проводящих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стан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овлен новый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порядок допуска организаций к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их регистрации в реестре организаций, проводящих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приостановления и прекращения деятельности по проведению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порядок формирования и ведения реестра организаций, проводящих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(далее - реестр). Реестр ведется Минтрудом России.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аявления о регистрации в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бумажном виде можно подать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31.12.2022. 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1" w:name="p_40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01.01.</w:t>
            </w:r>
            <w:r>
              <w:rPr>
                <w:rFonts w:ascii="Times New Roman" w:hAnsi="Times New Roman"/>
                <w:sz w:val="20"/>
                <w:szCs w:val="20"/>
              </w:rPr>
              <w:t>2023 подача указанного заявления осуществляется исключительно в электронном виде с использованием единого портала (Госуслуги) для проверки подаваемых сведений в автоматическом режиме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Минтруда России от 29.10.2021 № 766н «Об утверждении Правил обеспечения работников средствами индивидуальной защиты (далее - СИЗ) и смывающими средствами»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2023 до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>2029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Министерства здравоохранения и социального развития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2009 № 290н «Об утверждении Межотраслевых правил обеспечения работников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СИЗ</w:t>
            </w:r>
            <w:r>
              <w:rPr>
                <w:rFonts w:ascii="Times New Roman" w:hAnsi="Times New Roman"/>
                <w:sz w:val="20"/>
                <w:szCs w:val="20"/>
              </w:rPr>
              <w:t>»,</w:t>
            </w:r>
          </w:p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к приказу Министерства здравоохранения и социального развития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17.12.2021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становлены обязательные требования к обеспечению работников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смывающими средствами, включая определение потребности, организацию приобретения, выдачи, эксплуатации (использования), хранения, ухода (обслуживания) и вывода из эксплуатации.</w:t>
            </w:r>
          </w:p>
          <w:p>
            <w:pPr>
              <w:pStyle w:val="S1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Обеспечение СИЗ и смывающими средствами осуществляется в соответствии с Правилами, на основании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"/document/55171222/entry/1000"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единых Типовых норм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выдачи СИЗ, с учетом результатов СОУТ, результатов оценки профессиональных рисков (далее - ОПР).</w:t>
            </w:r>
          </w:p>
          <w:p>
            <w:pPr>
              <w:pStyle w:val="S1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В период до 31.12.2024 работодатель вправе осуществлять обеспечение СИЗ и смывающими средствами в соответствии с Правилами, на основании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"/document/3919543/entry/0"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типовых норм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бесплатной выдачи специальной одежды, специальной обуви и других средств индивидуальной защиты с учетом результатов СОУТ, результатов ОПР, мнения выборного органа первичной профсоюзной организации или иного уполномоченного представительного органа работников (при наличии)</w:t>
            </w:r>
          </w:p>
          <w:p>
            <w:pPr>
              <w:pStyle w:val="S1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Решение о применении в период с 1 сентября 2023 года до 31 декабря 2024 года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"/document/55171222/entry/1000"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Единых типовых норм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или </w:t>
            </w:r>
            <w:r>
              <w:fldChar w:fldCharType="begin"/>
            </w:r>
            <w:r>
              <w:rPr>
                <w:sz w:val="20"/>
                <w:szCs w:val="20"/>
              </w:rPr>
              <w:instrText> HYPERLINK "https://home.garant.ru/" \l "/document/3919543/entry/0"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типовых норм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у</w:t>
            </w:r>
            <w:r>
              <w:rPr>
                <w:sz w:val="20"/>
                <w:szCs w:val="20"/>
                <w:lang w:val="ru-RU"/>
              </w:rPr>
              <w:t xml:space="preserve">твержденных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sz w:val="20"/>
                <w:szCs w:val="20"/>
                <w:lang w:val="ru-RU"/>
              </w:rPr>
              <w:t xml:space="preserve">риказом Минтруда </w:t>
            </w:r>
            <w:r>
              <w:rPr>
                <w:rFonts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sz w:val="20"/>
                <w:szCs w:val="20"/>
                <w:lang w:val="ru-RU"/>
              </w:rPr>
              <w:t xml:space="preserve"> от 29.10.2021 № 767н,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принимается работодателем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Минтруда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29.10.2021 № 767н «Об утверждении Единых типовых норм выдачи средств индивидуальной защиты и смывающих средств»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(действует 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)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Типовые нормы выдачи СИЗ, Типовые отраслевые нормы выдачи СИЗ, Нормы выдачи СИЗ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(можно применять до 31.12.2024)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Нормы СИЗ и смывающих средств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представлены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трех приложениях: 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Единые типовые нормы выдачи средств индивидуальной защиты по профессиям (должностям);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Единые типовые нормы выдачи средств индивидуальной защиты в зависимости от идентифицированных опасностей;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Единые типовые нормы выдачи дерматологических средств индивидуальной защиты и смывающих средств.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СИЗ 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Минтруда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15.11.2021 № 796н «О признании утратившим силу приказа Министерства здравоохранения и социального развития Российской Федерации от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 № 205н «Об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труда» и внесенных в него изменений» 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01.09.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 утратят силу приказы Минздравсоцразвития и Минтруда по вопросам аккредитации организаций, оказывающих услуги в области охраны труда. </w:t>
            </w:r>
          </w:p>
        </w:tc>
      </w:tr>
      <w:tr>
        <w:trPr/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6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Приказ Минтруда </w:t>
            </w:r>
            <w:r>
              <w:rPr>
                <w:rStyle w:val="Style15"/>
                <w:rFonts w:eastAsia="NSimSun" w:cs="Lucida Sans" w:ascii="Times New Roman" w:hAnsi="Times New Roman"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>России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от 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sz w:val="20"/>
                <w:szCs w:val="20"/>
              </w:rPr>
              <w:t>30.</w:t>
            </w:r>
            <w:r>
              <w:rPr>
                <w:rStyle w:val="Style15"/>
                <w:rFonts w:eastAsia="NSimSun" w:cs="Lucida Sans" w:ascii="Times New Roman" w:hAnsi="Times New Roman"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>11.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sz w:val="20"/>
                <w:szCs w:val="20"/>
              </w:rPr>
              <w:t>2021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№ </w:t>
            </w:r>
            <w:r>
              <w:rPr>
                <w:rStyle w:val="Style15"/>
                <w:rFonts w:ascii="Times New Roman" w:hAnsi="Times New Roman"/>
                <w:i w:val="false"/>
                <w:iCs w:val="false"/>
                <w:sz w:val="20"/>
                <w:szCs w:val="20"/>
              </w:rPr>
              <w:t>838н «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</w:t>
            </w:r>
          </w:p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В соответствии с </w:t>
            </w:r>
            <w:r>
              <w:fldChar w:fldCharType="begin"/>
            </w:r>
            <w:r>
              <w:rPr>
                <w:sz w:val="20"/>
                <w:i w:val="false"/>
                <w:szCs w:val="20"/>
                <w:iCs w:val="false"/>
                <w:rFonts w:ascii="Times New Roman" w:hAnsi="Times New Roman"/>
              </w:rPr>
              <w:instrText> HYPERLINK "https://home.garant.ru/" \l "/document/74449814/entry/2310"</w:instrText>
            </w:r>
            <w:r>
              <w:rPr>
                <w:sz w:val="20"/>
                <w:i w:val="false"/>
                <w:szCs w:val="20"/>
                <w:iCs w:val="false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частью 10 статьи 23</w:t>
            </w:r>
            <w:r>
              <w:rPr>
                <w:sz w:val="20"/>
                <w:i w:val="false"/>
                <w:szCs w:val="20"/>
                <w:iCs w:val="false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Федерального закона от 31.07.2020 </w:t>
            </w:r>
            <w:r>
              <w:rPr>
                <w:rFonts w:eastAsia="NSimSun" w:cs="Lucida Sans" w:ascii="Times New Roman" w:hAnsi="Times New Roman"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Вводится впервые</w:t>
            </w:r>
          </w:p>
        </w:tc>
        <w:tc>
          <w:tcPr>
            <w:tcW w:w="4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 нарушении обязательных требований при проведении госконтроля за соблюдением актов, содержащих нормы трудового права, могут свидетельствовать: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- принятие судом заявления о признании банкротом работодателя, среднестатистическая численность работников которого равняется или превышает 50 человек, включая совместителей;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- проведение два и более раза в течение шести месяцев одним лицом и (или) одним средством измерения, имеющим идентификационные признаки, измерений в целях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СОУТ</w:t>
            </w:r>
            <w:r>
              <w:rPr>
                <w:i w:val="false"/>
                <w:iCs w:val="false"/>
                <w:sz w:val="20"/>
                <w:szCs w:val="20"/>
              </w:rPr>
              <w:t xml:space="preserve"> у контролируемого лица и иного лица, находящегося в другом регионе, в течение суток (кроме случаев проведения СОУТ на территории субъектов Федерации, имеющих общую административную границу).</w:t>
            </w:r>
          </w:p>
          <w:p>
            <w:pPr>
              <w:pStyle w:val="S1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Указанные обстоятельства учитываются при принятии решения о проведении и выборе вида внепланового контрольного мероприятия</w:t>
            </w:r>
          </w:p>
        </w:tc>
      </w:tr>
    </w:tbl>
    <w:p>
      <w:pPr>
        <w:pStyle w:val="Normal"/>
        <w:spacing w:lineRule="auto" w:line="240" w:before="0" w:after="0"/>
        <w:rPr>
          <w:rFonts w:ascii="Arial;sans-serif" w:hAnsi="Arial;sans-serif"/>
          <w:color w:val="000000"/>
          <w:sz w:val="21"/>
        </w:rPr>
      </w:pPr>
      <w:r>
        <w:rPr>
          <w:rFonts w:ascii="Arial;sans-serif" w:hAnsi="Arial;sans-serif"/>
          <w:color w:val="000000"/>
          <w:sz w:val="21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T Serif">
    <w:charset w:val="cc"/>
    <w:family w:val="roman"/>
    <w:pitch w:val="variable"/>
  </w:font>
  <w:font w:name="Arial">
    <w:altName w:val="sans-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21"/>
    <w:next w:val="Style17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2">
    <w:name w:val="Heading 2"/>
    <w:basedOn w:val="Style21"/>
    <w:next w:val="Style17"/>
    <w:uiPriority w:val="9"/>
    <w:unhideWhenUsed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4f1438"/>
    <w:rPr>
      <w:color w:val="0000FF"/>
      <w:u w:val="single"/>
    </w:rPr>
  </w:style>
  <w:style w:type="character" w:styleId="Style15">
    <w:name w:val="Выделение"/>
    <w:uiPriority w:val="20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1" w:customStyle="1">
    <w:name w:val="s_1"/>
    <w:basedOn w:val="Normal"/>
    <w:qFormat/>
    <w:rsid w:val="0080012f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16" w:customStyle="1">
    <w:name w:val="s_16"/>
    <w:basedOn w:val="Normal"/>
    <w:qFormat/>
    <w:rsid w:val="00f910a1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Empty" w:customStyle="1">
    <w:name w:val="empty"/>
    <w:basedOn w:val="Normal"/>
    <w:qFormat/>
    <w:rsid w:val="00f910a1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Style24"/>
    <w:pPr>
      <w:suppressLineNumbers/>
    </w:pPr>
    <w:rPr/>
  </w:style>
  <w:style w:type="paragraph" w:styleId="Style26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Application>LibreOffice/7.0.6.2$Windows_X86_64 LibreOffice_project/144abb84a525d8e30c9dbbefa69cbbf2d8d4ae3b</Application>
  <AppVersion>15.0000</AppVersion>
  <Pages>9</Pages>
  <Words>3438</Words>
  <Characters>23865</Characters>
  <CharactersWithSpaces>27156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2022-02-04T09:29:00Z</dcterms:created>
  <dc:creator/>
  <dc:description/>
  <dc:language>ru-RU</dc:language>
  <cp:lastModifiedBy/>
  <cp:lastPrinted>2022-02-09T10:17:24Z</cp:lastPrinted>
  <dcterms:modified xsi:type="dcterms:W3CDTF">2022-02-09T15:18:25Z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