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8"/>
        <w:gridCol w:w="4689"/>
      </w:tblGrid>
      <w:tr w:rsidR="001D4B15" w:rsidRPr="009313B3" w:rsidTr="008041D7">
        <w:tc>
          <w:tcPr>
            <w:tcW w:w="4808" w:type="dxa"/>
          </w:tcPr>
          <w:p w:rsidR="001D4B15" w:rsidRPr="009313B3" w:rsidRDefault="001D4B15" w:rsidP="009313B3">
            <w:r w:rsidRPr="009313B3">
              <w:t>«</w:t>
            </w:r>
            <w:r w:rsidRPr="009313B3">
              <w:rPr>
                <w:rFonts w:ascii="Times New Roman" w:hAnsi="Times New Roman" w:cs="Times New Roman"/>
                <w:sz w:val="24"/>
                <w:szCs w:val="24"/>
              </w:rPr>
              <w:t>Принято</w:t>
            </w:r>
            <w:r w:rsidRPr="009313B3">
              <w:t xml:space="preserve">» </w:t>
            </w:r>
          </w:p>
          <w:p w:rsidR="001D4B15" w:rsidRPr="009313B3" w:rsidRDefault="001D4B15" w:rsidP="003A3873">
            <w:pPr>
              <w:spacing w:line="276" w:lineRule="auto"/>
              <w:ind w:left="34"/>
              <w:rPr>
                <w:rFonts w:ascii="Times New Roman" w:hAnsi="Times New Roman" w:cs="Times New Roman"/>
                <w:sz w:val="24"/>
                <w:szCs w:val="24"/>
              </w:rPr>
            </w:pPr>
            <w:r w:rsidRPr="009313B3">
              <w:rPr>
                <w:rFonts w:ascii="Times New Roman" w:hAnsi="Times New Roman" w:cs="Times New Roman"/>
                <w:sz w:val="24"/>
                <w:szCs w:val="24"/>
              </w:rPr>
              <w:t>Протокол заседания</w:t>
            </w:r>
          </w:p>
          <w:p w:rsidR="001D4B15" w:rsidRPr="009313B3" w:rsidRDefault="001D4B15" w:rsidP="003A3873">
            <w:pPr>
              <w:spacing w:line="276" w:lineRule="auto"/>
              <w:ind w:left="34"/>
              <w:rPr>
                <w:rFonts w:ascii="Times New Roman" w:hAnsi="Times New Roman" w:cs="Times New Roman"/>
                <w:sz w:val="24"/>
                <w:szCs w:val="24"/>
              </w:rPr>
            </w:pPr>
            <w:r w:rsidRPr="009313B3">
              <w:rPr>
                <w:rFonts w:ascii="Times New Roman" w:hAnsi="Times New Roman" w:cs="Times New Roman"/>
                <w:sz w:val="24"/>
                <w:szCs w:val="24"/>
              </w:rPr>
              <w:t xml:space="preserve">Педагогического совета </w:t>
            </w:r>
          </w:p>
          <w:p w:rsidR="001D4B15" w:rsidRPr="009313B3" w:rsidRDefault="000B5266" w:rsidP="003A3873">
            <w:pPr>
              <w:spacing w:line="276" w:lineRule="auto"/>
              <w:ind w:left="34"/>
              <w:rPr>
                <w:rFonts w:ascii="Times New Roman" w:hAnsi="Times New Roman" w:cs="Times New Roman"/>
                <w:i/>
                <w:sz w:val="24"/>
                <w:szCs w:val="24"/>
              </w:rPr>
            </w:pPr>
            <w:r>
              <w:rPr>
                <w:rFonts w:ascii="Times New Roman" w:hAnsi="Times New Roman" w:cs="Times New Roman"/>
                <w:i/>
                <w:sz w:val="24"/>
                <w:szCs w:val="24"/>
              </w:rPr>
              <w:t xml:space="preserve">МБОУ «СОШ №3 </w:t>
            </w:r>
            <w:proofErr w:type="spellStart"/>
            <w:r>
              <w:rPr>
                <w:rFonts w:ascii="Times New Roman" w:hAnsi="Times New Roman" w:cs="Times New Roman"/>
                <w:i/>
                <w:sz w:val="24"/>
                <w:szCs w:val="24"/>
              </w:rPr>
              <w:t>им.Д.Е.Нехая</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а</w:t>
            </w:r>
            <w:proofErr w:type="gramStart"/>
            <w:r>
              <w:rPr>
                <w:rFonts w:ascii="Times New Roman" w:hAnsi="Times New Roman" w:cs="Times New Roman"/>
                <w:i/>
                <w:sz w:val="24"/>
                <w:szCs w:val="24"/>
              </w:rPr>
              <w:t>.П</w:t>
            </w:r>
            <w:proofErr w:type="gramEnd"/>
            <w:r>
              <w:rPr>
                <w:rFonts w:ascii="Times New Roman" w:hAnsi="Times New Roman" w:cs="Times New Roman"/>
                <w:i/>
                <w:sz w:val="24"/>
                <w:szCs w:val="24"/>
              </w:rPr>
              <w:t>чегатлукай</w:t>
            </w:r>
            <w:proofErr w:type="spellEnd"/>
          </w:p>
          <w:p w:rsidR="001D4B15" w:rsidRPr="009313B3" w:rsidRDefault="001D4B15" w:rsidP="000B5266">
            <w:pPr>
              <w:spacing w:line="276" w:lineRule="auto"/>
              <w:ind w:left="34" w:hanging="34"/>
              <w:rPr>
                <w:rFonts w:ascii="Times New Roman" w:hAnsi="Times New Roman" w:cs="Times New Roman"/>
                <w:sz w:val="24"/>
                <w:szCs w:val="24"/>
              </w:rPr>
            </w:pPr>
            <w:r w:rsidRPr="009313B3">
              <w:rPr>
                <w:rFonts w:ascii="Times New Roman" w:hAnsi="Times New Roman" w:cs="Times New Roman"/>
                <w:i/>
                <w:sz w:val="24"/>
                <w:szCs w:val="24"/>
              </w:rPr>
              <w:t xml:space="preserve">№ </w:t>
            </w:r>
            <w:r w:rsidR="000B5266">
              <w:rPr>
                <w:rFonts w:ascii="Times New Roman" w:hAnsi="Times New Roman" w:cs="Times New Roman"/>
                <w:i/>
                <w:sz w:val="24"/>
                <w:szCs w:val="24"/>
              </w:rPr>
              <w:t xml:space="preserve">1 </w:t>
            </w:r>
            <w:r w:rsidRPr="009313B3">
              <w:rPr>
                <w:rFonts w:ascii="Times New Roman" w:hAnsi="Times New Roman" w:cs="Times New Roman"/>
                <w:i/>
                <w:sz w:val="24"/>
                <w:szCs w:val="24"/>
              </w:rPr>
              <w:t xml:space="preserve"> от </w:t>
            </w:r>
            <w:r w:rsidR="000B5266">
              <w:rPr>
                <w:rFonts w:ascii="Times New Roman" w:hAnsi="Times New Roman" w:cs="Times New Roman"/>
                <w:i/>
                <w:sz w:val="24"/>
                <w:szCs w:val="24"/>
              </w:rPr>
              <w:t>29.08.2024г.</w:t>
            </w:r>
          </w:p>
        </w:tc>
        <w:tc>
          <w:tcPr>
            <w:tcW w:w="4689" w:type="dxa"/>
          </w:tcPr>
          <w:p w:rsidR="001D4B15" w:rsidRPr="009313B3" w:rsidRDefault="001D4B15" w:rsidP="003A3873">
            <w:pPr>
              <w:spacing w:line="276" w:lineRule="auto"/>
              <w:rPr>
                <w:rFonts w:ascii="Times New Roman" w:hAnsi="Times New Roman" w:cs="Times New Roman"/>
                <w:sz w:val="24"/>
                <w:szCs w:val="24"/>
              </w:rPr>
            </w:pPr>
            <w:r w:rsidRPr="009313B3">
              <w:rPr>
                <w:rFonts w:ascii="Times New Roman" w:hAnsi="Times New Roman" w:cs="Times New Roman"/>
                <w:sz w:val="24"/>
                <w:szCs w:val="24"/>
              </w:rPr>
              <w:t>«Утверждаю»</w:t>
            </w:r>
          </w:p>
          <w:p w:rsidR="001D4B15" w:rsidRDefault="001D4B15" w:rsidP="000B5266">
            <w:pPr>
              <w:spacing w:line="276" w:lineRule="auto"/>
              <w:rPr>
                <w:rFonts w:ascii="Times New Roman" w:hAnsi="Times New Roman" w:cs="Times New Roman"/>
                <w:sz w:val="24"/>
                <w:szCs w:val="24"/>
              </w:rPr>
            </w:pPr>
            <w:r w:rsidRPr="009313B3">
              <w:rPr>
                <w:rFonts w:ascii="Times New Roman" w:hAnsi="Times New Roman" w:cs="Times New Roman"/>
                <w:sz w:val="24"/>
                <w:szCs w:val="24"/>
              </w:rPr>
              <w:t xml:space="preserve">Директор </w:t>
            </w:r>
            <w:r w:rsidR="000B5266">
              <w:rPr>
                <w:rFonts w:ascii="Times New Roman" w:hAnsi="Times New Roman" w:cs="Times New Roman"/>
                <w:sz w:val="24"/>
                <w:szCs w:val="24"/>
              </w:rPr>
              <w:t xml:space="preserve"> МБОУ «СОШ №3 </w:t>
            </w:r>
            <w:proofErr w:type="spellStart"/>
            <w:r w:rsidR="000B5266">
              <w:rPr>
                <w:rFonts w:ascii="Times New Roman" w:hAnsi="Times New Roman" w:cs="Times New Roman"/>
                <w:sz w:val="24"/>
                <w:szCs w:val="24"/>
              </w:rPr>
              <w:t>им.Д.Е.Нехая</w:t>
            </w:r>
            <w:proofErr w:type="spellEnd"/>
            <w:r w:rsidR="000B5266">
              <w:rPr>
                <w:rFonts w:ascii="Times New Roman" w:hAnsi="Times New Roman" w:cs="Times New Roman"/>
                <w:sz w:val="24"/>
                <w:szCs w:val="24"/>
              </w:rPr>
              <w:t xml:space="preserve">» </w:t>
            </w:r>
            <w:proofErr w:type="spellStart"/>
            <w:r w:rsidR="000B5266">
              <w:rPr>
                <w:rFonts w:ascii="Times New Roman" w:hAnsi="Times New Roman" w:cs="Times New Roman"/>
                <w:sz w:val="24"/>
                <w:szCs w:val="24"/>
              </w:rPr>
              <w:t>а</w:t>
            </w:r>
            <w:proofErr w:type="gramStart"/>
            <w:r w:rsidR="000B5266">
              <w:rPr>
                <w:rFonts w:ascii="Times New Roman" w:hAnsi="Times New Roman" w:cs="Times New Roman"/>
                <w:sz w:val="24"/>
                <w:szCs w:val="24"/>
              </w:rPr>
              <w:t>.П</w:t>
            </w:r>
            <w:proofErr w:type="gramEnd"/>
            <w:r w:rsidR="000B5266">
              <w:rPr>
                <w:rFonts w:ascii="Times New Roman" w:hAnsi="Times New Roman" w:cs="Times New Roman"/>
                <w:sz w:val="24"/>
                <w:szCs w:val="24"/>
              </w:rPr>
              <w:t>чегатлукай</w:t>
            </w:r>
            <w:proofErr w:type="spellEnd"/>
          </w:p>
          <w:p w:rsidR="000B5266" w:rsidRPr="009313B3" w:rsidRDefault="000B5266" w:rsidP="000B5266">
            <w:pPr>
              <w:spacing w:line="276" w:lineRule="auto"/>
              <w:rPr>
                <w:rFonts w:ascii="Times New Roman" w:hAnsi="Times New Roman" w:cs="Times New Roman"/>
                <w:i/>
                <w:sz w:val="24"/>
                <w:szCs w:val="24"/>
              </w:rPr>
            </w:pPr>
            <w:proofErr w:type="spellStart"/>
            <w:r>
              <w:rPr>
                <w:rFonts w:ascii="Times New Roman" w:hAnsi="Times New Roman" w:cs="Times New Roman"/>
                <w:sz w:val="24"/>
                <w:szCs w:val="24"/>
              </w:rPr>
              <w:t>Шаззо</w:t>
            </w:r>
            <w:proofErr w:type="spellEnd"/>
            <w:r>
              <w:rPr>
                <w:rFonts w:ascii="Times New Roman" w:hAnsi="Times New Roman" w:cs="Times New Roman"/>
                <w:sz w:val="24"/>
                <w:szCs w:val="24"/>
              </w:rPr>
              <w:t xml:space="preserve"> С.И.</w:t>
            </w:r>
          </w:p>
          <w:p w:rsidR="001D4B15" w:rsidRPr="009313B3" w:rsidRDefault="00B365FE" w:rsidP="003A3873">
            <w:pPr>
              <w:spacing w:line="276" w:lineRule="auto"/>
              <w:rPr>
                <w:rFonts w:ascii="Times New Roman" w:hAnsi="Times New Roman" w:cs="Times New Roman"/>
                <w:i/>
                <w:sz w:val="24"/>
                <w:szCs w:val="24"/>
              </w:rPr>
            </w:pPr>
            <w:r w:rsidRPr="009313B3">
              <w:rPr>
                <w:rFonts w:ascii="Times New Roman" w:hAnsi="Times New Roman" w:cs="Times New Roman"/>
                <w:i/>
                <w:sz w:val="24"/>
                <w:szCs w:val="24"/>
              </w:rPr>
              <w:t>Приказ №</w:t>
            </w:r>
            <w:r w:rsidR="000B5266">
              <w:rPr>
                <w:rFonts w:ascii="Times New Roman" w:hAnsi="Times New Roman" w:cs="Times New Roman"/>
                <w:i/>
                <w:sz w:val="24"/>
                <w:szCs w:val="24"/>
              </w:rPr>
              <w:t>37</w:t>
            </w:r>
            <w:r w:rsidR="001D4B15" w:rsidRPr="009313B3">
              <w:rPr>
                <w:rFonts w:ascii="Times New Roman" w:hAnsi="Times New Roman" w:cs="Times New Roman"/>
                <w:i/>
                <w:sz w:val="24"/>
                <w:szCs w:val="24"/>
              </w:rPr>
              <w:t xml:space="preserve">  от </w:t>
            </w:r>
            <w:r w:rsidR="000B5266">
              <w:rPr>
                <w:rFonts w:ascii="Times New Roman" w:hAnsi="Times New Roman" w:cs="Times New Roman"/>
                <w:i/>
                <w:sz w:val="24"/>
                <w:szCs w:val="24"/>
              </w:rPr>
              <w:t>30.08.2024</w:t>
            </w:r>
            <w:r w:rsidR="001D4B15" w:rsidRPr="009313B3">
              <w:rPr>
                <w:rFonts w:ascii="Times New Roman" w:hAnsi="Times New Roman" w:cs="Times New Roman"/>
                <w:i/>
                <w:sz w:val="24"/>
                <w:szCs w:val="24"/>
              </w:rPr>
              <w:t xml:space="preserve"> г.</w:t>
            </w:r>
          </w:p>
          <w:p w:rsidR="001D4B15" w:rsidRPr="009313B3" w:rsidRDefault="001D4B15" w:rsidP="000B5266">
            <w:pPr>
              <w:spacing w:line="276" w:lineRule="auto"/>
              <w:rPr>
                <w:rFonts w:ascii="Times New Roman" w:hAnsi="Times New Roman" w:cs="Times New Roman"/>
                <w:i/>
                <w:sz w:val="24"/>
                <w:szCs w:val="24"/>
              </w:rPr>
            </w:pPr>
            <w:r w:rsidRPr="009313B3">
              <w:rPr>
                <w:rFonts w:ascii="Times New Roman" w:hAnsi="Times New Roman" w:cs="Times New Roman"/>
                <w:i/>
                <w:sz w:val="24"/>
                <w:szCs w:val="24"/>
              </w:rPr>
              <w:t xml:space="preserve">                                    </w:t>
            </w:r>
          </w:p>
        </w:tc>
      </w:tr>
    </w:tbl>
    <w:p w:rsidR="001D4B15" w:rsidRPr="009313B3" w:rsidRDefault="001D4B15" w:rsidP="003A3873">
      <w:pPr>
        <w:tabs>
          <w:tab w:val="left" w:pos="4052"/>
        </w:tabs>
        <w:spacing w:after="0"/>
        <w:jc w:val="center"/>
        <w:rPr>
          <w:rFonts w:ascii="Times New Roman" w:hAnsi="Times New Roman" w:cs="Times New Roman"/>
          <w:b/>
          <w:sz w:val="24"/>
        </w:rPr>
      </w:pPr>
    </w:p>
    <w:p w:rsidR="003A3873"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rsidR="001D4B15"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обучающихся в </w:t>
      </w:r>
    </w:p>
    <w:p w:rsidR="001D4B15" w:rsidRPr="009313B3" w:rsidRDefault="000B5266" w:rsidP="003A3873">
      <w:pPr>
        <w:spacing w:after="0"/>
        <w:jc w:val="center"/>
        <w:rPr>
          <w:rFonts w:ascii="Times New Roman" w:hAnsi="Times New Roman" w:cs="Times New Roman"/>
          <w:b/>
          <w:w w:val="115"/>
          <w:sz w:val="24"/>
          <w:szCs w:val="24"/>
        </w:rPr>
      </w:pPr>
      <w:r>
        <w:rPr>
          <w:rFonts w:ascii="Times New Roman" w:hAnsi="Times New Roman" w:cs="Times New Roman"/>
          <w:b/>
          <w:w w:val="115"/>
          <w:sz w:val="24"/>
          <w:szCs w:val="24"/>
        </w:rPr>
        <w:t xml:space="preserve">муниципального бюджетного общеобразовательного учреждения «Средняя общеобразовательная школа №3 имени Героя Советского Союза </w:t>
      </w:r>
      <w:proofErr w:type="spellStart"/>
      <w:r>
        <w:rPr>
          <w:rFonts w:ascii="Times New Roman" w:hAnsi="Times New Roman" w:cs="Times New Roman"/>
          <w:b/>
          <w:w w:val="115"/>
          <w:sz w:val="24"/>
          <w:szCs w:val="24"/>
        </w:rPr>
        <w:t>Д.Е.Нехая</w:t>
      </w:r>
      <w:proofErr w:type="spellEnd"/>
      <w:r>
        <w:rPr>
          <w:rFonts w:ascii="Times New Roman" w:hAnsi="Times New Roman" w:cs="Times New Roman"/>
          <w:b/>
          <w:w w:val="115"/>
          <w:sz w:val="24"/>
          <w:szCs w:val="24"/>
        </w:rPr>
        <w:t xml:space="preserve">» аула </w:t>
      </w:r>
      <w:proofErr w:type="spellStart"/>
      <w:r>
        <w:rPr>
          <w:rFonts w:ascii="Times New Roman" w:hAnsi="Times New Roman" w:cs="Times New Roman"/>
          <w:b/>
          <w:w w:val="115"/>
          <w:sz w:val="24"/>
          <w:szCs w:val="24"/>
        </w:rPr>
        <w:t>Пчегатлукай</w:t>
      </w:r>
      <w:proofErr w:type="spellEnd"/>
      <w:r>
        <w:rPr>
          <w:rFonts w:ascii="Times New Roman" w:hAnsi="Times New Roman" w:cs="Times New Roman"/>
          <w:b/>
          <w:w w:val="115"/>
          <w:sz w:val="24"/>
          <w:szCs w:val="24"/>
        </w:rPr>
        <w:t xml:space="preserve"> </w:t>
      </w:r>
      <w:proofErr w:type="spellStart"/>
      <w:r>
        <w:rPr>
          <w:rFonts w:ascii="Times New Roman" w:hAnsi="Times New Roman" w:cs="Times New Roman"/>
          <w:b/>
          <w:w w:val="115"/>
          <w:sz w:val="24"/>
          <w:szCs w:val="24"/>
        </w:rPr>
        <w:t>Теучежского</w:t>
      </w:r>
      <w:proofErr w:type="spellEnd"/>
      <w:r>
        <w:rPr>
          <w:rFonts w:ascii="Times New Roman" w:hAnsi="Times New Roman" w:cs="Times New Roman"/>
          <w:b/>
          <w:w w:val="115"/>
          <w:sz w:val="24"/>
          <w:szCs w:val="24"/>
        </w:rPr>
        <w:t xml:space="preserve"> района Республики Адыгея</w:t>
      </w:r>
    </w:p>
    <w:p w:rsidR="001D4B15" w:rsidRPr="009313B3" w:rsidRDefault="001D4B15" w:rsidP="003A3873">
      <w:pPr>
        <w:tabs>
          <w:tab w:val="left" w:pos="4052"/>
        </w:tabs>
        <w:spacing w:after="0"/>
        <w:jc w:val="center"/>
        <w:rPr>
          <w:rFonts w:ascii="Times New Roman" w:hAnsi="Times New Roman" w:cs="Times New Roman"/>
          <w:sz w:val="2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F41F83" w:rsidRPr="009313B3" w:rsidRDefault="00F41F83" w:rsidP="009313B3">
      <w:pPr>
        <w:tabs>
          <w:tab w:val="left" w:pos="4052"/>
        </w:tabs>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000B5266">
        <w:rPr>
          <w:rFonts w:ascii="Times New Roman" w:eastAsia="Times New Roman" w:hAnsi="Times New Roman" w:cs="Times New Roman"/>
          <w:sz w:val="24"/>
          <w:szCs w:val="24"/>
          <w:lang w:eastAsia="ru-RU"/>
        </w:rPr>
        <w:t xml:space="preserve"> </w:t>
      </w:r>
      <w:r w:rsidRPr="009313B3">
        <w:rPr>
          <w:rFonts w:ascii="Times New Roman" w:hAnsi="Times New Roman" w:cs="Times New Roman"/>
          <w:sz w:val="24"/>
          <w:szCs w:val="24"/>
        </w:rPr>
        <w:t xml:space="preserve">(далее — Положение) в </w:t>
      </w:r>
      <w:r w:rsidR="000B5266">
        <w:rPr>
          <w:rFonts w:ascii="Times New Roman" w:hAnsi="Times New Roman" w:cs="Times New Roman"/>
          <w:sz w:val="24"/>
          <w:szCs w:val="24"/>
        </w:rPr>
        <w:t xml:space="preserve">муниципальном бюджетном общеобразовательном учреждении «Средняя общеобразовательная школа №3 имени Героя Советского Союза </w:t>
      </w:r>
      <w:proofErr w:type="spellStart"/>
      <w:r w:rsidR="000B5266">
        <w:rPr>
          <w:rFonts w:ascii="Times New Roman" w:hAnsi="Times New Roman" w:cs="Times New Roman"/>
          <w:sz w:val="24"/>
          <w:szCs w:val="24"/>
        </w:rPr>
        <w:t>Д.Е.Нехая</w:t>
      </w:r>
      <w:proofErr w:type="spellEnd"/>
      <w:r w:rsidR="000B5266">
        <w:rPr>
          <w:rFonts w:ascii="Times New Roman" w:hAnsi="Times New Roman" w:cs="Times New Roman"/>
          <w:sz w:val="24"/>
          <w:szCs w:val="24"/>
        </w:rPr>
        <w:t xml:space="preserve">» аула </w:t>
      </w:r>
      <w:proofErr w:type="spellStart"/>
      <w:r w:rsidR="000B5266">
        <w:rPr>
          <w:rFonts w:ascii="Times New Roman" w:hAnsi="Times New Roman" w:cs="Times New Roman"/>
          <w:sz w:val="24"/>
          <w:szCs w:val="24"/>
        </w:rPr>
        <w:t>Пчегатлукай</w:t>
      </w:r>
      <w:proofErr w:type="spellEnd"/>
      <w:r w:rsidR="000B5266">
        <w:rPr>
          <w:rFonts w:ascii="Times New Roman" w:hAnsi="Times New Roman" w:cs="Times New Roman"/>
          <w:sz w:val="24"/>
          <w:szCs w:val="24"/>
        </w:rPr>
        <w:t xml:space="preserve"> </w:t>
      </w:r>
      <w:proofErr w:type="spellStart"/>
      <w:r w:rsidR="000B5266">
        <w:rPr>
          <w:rFonts w:ascii="Times New Roman" w:hAnsi="Times New Roman" w:cs="Times New Roman"/>
          <w:sz w:val="24"/>
          <w:szCs w:val="24"/>
        </w:rPr>
        <w:t>Теучежского</w:t>
      </w:r>
      <w:proofErr w:type="spellEnd"/>
      <w:r w:rsidR="000B5266">
        <w:rPr>
          <w:rFonts w:ascii="Times New Roman" w:hAnsi="Times New Roman" w:cs="Times New Roman"/>
          <w:sz w:val="24"/>
          <w:szCs w:val="24"/>
        </w:rPr>
        <w:t xml:space="preserve"> района Республики Адыгея</w:t>
      </w:r>
      <w:r w:rsidR="003A3873" w:rsidRPr="009313B3">
        <w:rPr>
          <w:rFonts w:ascii="Times New Roman" w:hAnsi="Times New Roman" w:cs="Times New Roman"/>
          <w:i/>
          <w:sz w:val="24"/>
          <w:szCs w:val="24"/>
          <w:shd w:val="clear" w:color="auto" w:fill="FFFFFF"/>
        </w:rPr>
        <w:t xml:space="preserve"> </w:t>
      </w:r>
      <w:r w:rsidRPr="009313B3">
        <w:rPr>
          <w:rFonts w:ascii="Times New Roman" w:hAnsi="Times New Roman" w:cs="Times New Roman"/>
          <w:sz w:val="24"/>
          <w:szCs w:val="24"/>
        </w:rPr>
        <w:t xml:space="preserve">(далее – ОО) разработано в соответствии </w:t>
      </w:r>
      <w:proofErr w:type="gramStart"/>
      <w:r w:rsidRPr="009313B3">
        <w:rPr>
          <w:rFonts w:ascii="Times New Roman" w:hAnsi="Times New Roman" w:cs="Times New Roman"/>
          <w:sz w:val="24"/>
          <w:szCs w:val="24"/>
        </w:rPr>
        <w:t>с</w:t>
      </w:r>
      <w:proofErr w:type="gramEnd"/>
      <w:r w:rsidRPr="009313B3">
        <w:rPr>
          <w:rFonts w:ascii="Times New Roman" w:hAnsi="Times New Roman" w:cs="Times New Roman"/>
          <w:sz w:val="24"/>
          <w:szCs w:val="24"/>
        </w:rPr>
        <w:t>:</w:t>
      </w:r>
    </w:p>
    <w:p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lastRenderedPageBreak/>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0B5266">
        <w:rPr>
          <w:rFonts w:ascii="Times New Roman" w:hAnsi="Times New Roman" w:cs="Times New Roman"/>
          <w:sz w:val="24"/>
          <w:szCs w:val="24"/>
        </w:rPr>
        <w:t xml:space="preserve">муниципального бюджетного общеобразовательного учреждения «Средняя общеобразовательная школа №3 имени Героя Советского Союза </w:t>
      </w:r>
      <w:proofErr w:type="spellStart"/>
      <w:r w:rsidR="000B5266">
        <w:rPr>
          <w:rFonts w:ascii="Times New Roman" w:hAnsi="Times New Roman" w:cs="Times New Roman"/>
          <w:sz w:val="24"/>
          <w:szCs w:val="24"/>
        </w:rPr>
        <w:t>Д.Е.Нехая</w:t>
      </w:r>
      <w:proofErr w:type="spellEnd"/>
      <w:r w:rsidR="000B5266">
        <w:rPr>
          <w:rFonts w:ascii="Times New Roman" w:hAnsi="Times New Roman" w:cs="Times New Roman"/>
          <w:sz w:val="24"/>
          <w:szCs w:val="24"/>
        </w:rPr>
        <w:t xml:space="preserve">» аула </w:t>
      </w:r>
      <w:proofErr w:type="spellStart"/>
      <w:r w:rsidR="000B5266">
        <w:rPr>
          <w:rFonts w:ascii="Times New Roman" w:hAnsi="Times New Roman" w:cs="Times New Roman"/>
          <w:sz w:val="24"/>
          <w:szCs w:val="24"/>
        </w:rPr>
        <w:t>Пчегатлукай</w:t>
      </w:r>
      <w:proofErr w:type="spellEnd"/>
      <w:r w:rsidR="000B5266">
        <w:rPr>
          <w:rFonts w:ascii="Times New Roman" w:hAnsi="Times New Roman" w:cs="Times New Roman"/>
          <w:sz w:val="24"/>
          <w:szCs w:val="24"/>
        </w:rPr>
        <w:t xml:space="preserve"> </w:t>
      </w:r>
      <w:proofErr w:type="spellStart"/>
      <w:r w:rsidR="000B5266">
        <w:rPr>
          <w:rFonts w:ascii="Times New Roman" w:hAnsi="Times New Roman" w:cs="Times New Roman"/>
          <w:sz w:val="24"/>
          <w:szCs w:val="24"/>
        </w:rPr>
        <w:t>Теучежского</w:t>
      </w:r>
      <w:proofErr w:type="spellEnd"/>
      <w:r w:rsidR="000B5266">
        <w:rPr>
          <w:rFonts w:ascii="Times New Roman" w:hAnsi="Times New Roman" w:cs="Times New Roman"/>
          <w:sz w:val="24"/>
          <w:szCs w:val="24"/>
        </w:rPr>
        <w:t xml:space="preserve"> района Республики Адыгея</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0B5266"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Ответственность за соблюдение данных требований возлагается на заместителя директора по учебно-воспитательной работе ОО</w:t>
      </w:r>
      <w:r w:rsidR="000B5266">
        <w:rPr>
          <w:rFonts w:ascii="Times New Roman" w:eastAsia="Times New Roman" w:hAnsi="Times New Roman" w:cs="Times New Roman"/>
          <w:sz w:val="24"/>
          <w:szCs w:val="24"/>
          <w:lang w:eastAsia="ru-RU"/>
        </w:rPr>
        <w:t>.</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w:t>
      </w:r>
      <w:r w:rsidR="00CF5B73">
        <w:rPr>
          <w:rFonts w:ascii="Times New Roman" w:eastAsia="Times New Roman" w:hAnsi="Times New Roman" w:cs="Times New Roman"/>
          <w:sz w:val="24"/>
          <w:szCs w:val="24"/>
          <w:lang w:eastAsia="ru-RU"/>
        </w:rPr>
        <w:t xml:space="preserve"> </w:t>
      </w:r>
      <w:r w:rsidR="00CF5B73">
        <w:rPr>
          <w:rFonts w:ascii="Times New Roman" w:hAnsi="Times New Roman" w:cs="Times New Roman"/>
          <w:sz w:val="24"/>
          <w:szCs w:val="24"/>
        </w:rPr>
        <w:t xml:space="preserve">муниципальном бюджетном общеобразовательном учреждении «Средняя общеобразовательная школа №3 имени Героя Советского Союза </w:t>
      </w:r>
      <w:proofErr w:type="spellStart"/>
      <w:r w:rsidR="00CF5B73">
        <w:rPr>
          <w:rFonts w:ascii="Times New Roman" w:hAnsi="Times New Roman" w:cs="Times New Roman"/>
          <w:sz w:val="24"/>
          <w:szCs w:val="24"/>
        </w:rPr>
        <w:t>Д.Е.Нехая</w:t>
      </w:r>
      <w:proofErr w:type="spellEnd"/>
      <w:r w:rsidR="00CF5B73">
        <w:rPr>
          <w:rFonts w:ascii="Times New Roman" w:hAnsi="Times New Roman" w:cs="Times New Roman"/>
          <w:sz w:val="24"/>
          <w:szCs w:val="24"/>
        </w:rPr>
        <w:t xml:space="preserve">» аула </w:t>
      </w:r>
      <w:proofErr w:type="spellStart"/>
      <w:r w:rsidR="00CF5B73">
        <w:rPr>
          <w:rFonts w:ascii="Times New Roman" w:hAnsi="Times New Roman" w:cs="Times New Roman"/>
          <w:sz w:val="24"/>
          <w:szCs w:val="24"/>
        </w:rPr>
        <w:t>Пчегатлукай</w:t>
      </w:r>
      <w:proofErr w:type="spellEnd"/>
      <w:r w:rsidR="00CF5B73">
        <w:rPr>
          <w:rFonts w:ascii="Times New Roman" w:hAnsi="Times New Roman" w:cs="Times New Roman"/>
          <w:sz w:val="24"/>
          <w:szCs w:val="24"/>
        </w:rPr>
        <w:t xml:space="preserve"> </w:t>
      </w:r>
      <w:proofErr w:type="spellStart"/>
      <w:r w:rsidR="00CF5B73">
        <w:rPr>
          <w:rFonts w:ascii="Times New Roman" w:hAnsi="Times New Roman" w:cs="Times New Roman"/>
          <w:sz w:val="24"/>
          <w:szCs w:val="24"/>
        </w:rPr>
        <w:t>Теучежского</w:t>
      </w:r>
      <w:proofErr w:type="spellEnd"/>
      <w:r w:rsidR="00CF5B73">
        <w:rPr>
          <w:rFonts w:ascii="Times New Roman" w:hAnsi="Times New Roman" w:cs="Times New Roman"/>
          <w:sz w:val="24"/>
          <w:szCs w:val="24"/>
        </w:rPr>
        <w:t xml:space="preserve"> района Республики Адыгея</w:t>
      </w:r>
      <w:r w:rsidR="003A3873" w:rsidRPr="009313B3">
        <w:rPr>
          <w:rFonts w:ascii="Times New Roman" w:hAnsi="Times New Roman" w:cs="Times New Roman"/>
          <w:i/>
          <w:sz w:val="24"/>
          <w:szCs w:val="24"/>
          <w:shd w:val="clear" w:color="auto" w:fill="FFFFFF"/>
        </w:rPr>
        <w:t xml:space="preserve"> </w:t>
      </w:r>
      <w:r w:rsidR="00377700" w:rsidRPr="009313B3">
        <w:rPr>
          <w:rFonts w:ascii="Times New Roman" w:eastAsia="Times New Roman" w:hAnsi="Times New Roman" w:cs="Times New Roman"/>
          <w:sz w:val="24"/>
          <w:szCs w:val="24"/>
          <w:lang w:eastAsia="ru-RU"/>
        </w:rPr>
        <w:t xml:space="preserve">промежуточная аттестация проводится в конце каждой учебной четверти/триместра для обучающихся </w:t>
      </w:r>
      <w:r w:rsidR="00CF5B73">
        <w:rPr>
          <w:rFonts w:ascii="Times New Roman" w:eastAsia="Times New Roman" w:hAnsi="Times New Roman" w:cs="Times New Roman"/>
          <w:sz w:val="24"/>
          <w:szCs w:val="24"/>
          <w:lang w:eastAsia="ru-RU"/>
        </w:rPr>
        <w:t>2-9</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 для обучающихся </w:t>
      </w:r>
      <w:r w:rsidR="00CF5B73">
        <w:rPr>
          <w:rFonts w:ascii="Times New Roman" w:eastAsia="Times New Roman" w:hAnsi="Times New Roman" w:cs="Times New Roman"/>
          <w:sz w:val="24"/>
          <w:szCs w:val="24"/>
          <w:lang w:eastAsia="ru-RU"/>
        </w:rPr>
        <w:t xml:space="preserve"> 10, 11</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w:t>
      </w:r>
      <w:r w:rsidR="00CF5B73">
        <w:rPr>
          <w:rFonts w:ascii="Times New Roman" w:eastAsia="Times New Roman" w:hAnsi="Times New Roman" w:cs="Times New Roman"/>
          <w:sz w:val="24"/>
          <w:szCs w:val="24"/>
          <w:lang w:eastAsia="ru-RU"/>
        </w:rPr>
        <w:t xml:space="preserve"> не менее 3</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w:t>
      </w:r>
      <w:r w:rsidR="00CF5B73">
        <w:rPr>
          <w:rFonts w:ascii="Times New Roman" w:eastAsia="Times New Roman" w:hAnsi="Times New Roman" w:cs="Times New Roman"/>
          <w:sz w:val="24"/>
          <w:szCs w:val="24"/>
          <w:lang w:eastAsia="ru-RU"/>
        </w:rPr>
        <w:t>сновании не менее 6</w:t>
      </w:r>
      <w:r w:rsidR="00377700" w:rsidRPr="009313B3">
        <w:rPr>
          <w:rFonts w:ascii="Times New Roman" w:eastAsia="Times New Roman" w:hAnsi="Times New Roman" w:cs="Times New Roman"/>
          <w:sz w:val="24"/>
          <w:szCs w:val="24"/>
          <w:lang w:eastAsia="ru-RU"/>
        </w:rPr>
        <w:t xml:space="preserve"> текущих оценок.</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F5B73"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отметочно - для любой 5</w:t>
      </w:r>
      <w:r w:rsidR="00CA2259" w:rsidRPr="009313B3">
        <w:rPr>
          <w:rFonts w:ascii="Times New Roman" w:eastAsia="Times New Roman" w:hAnsi="Times New Roman" w:cs="Times New Roman"/>
          <w:sz w:val="24"/>
          <w:szCs w:val="24"/>
          <w:lang w:eastAsia="ru-RU"/>
        </w:rPr>
        <w:t>-балльной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w:t>
      </w:r>
      <w:bookmarkStart w:id="0" w:name="_GoBack"/>
      <w:bookmarkEnd w:id="0"/>
      <w:r w:rsidRPr="009313B3">
        <w:rPr>
          <w:rFonts w:ascii="Times New Roman" w:eastAsia="Times New Roman" w:hAnsi="Times New Roman" w:cs="Times New Roman"/>
          <w:sz w:val="24"/>
          <w:szCs w:val="24"/>
          <w:lang w:eastAsia="ru-RU"/>
        </w:rPr>
        <w:t xml:space="preserve">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w:t>
      </w:r>
      <w:r w:rsidRPr="009313B3">
        <w:rPr>
          <w:rFonts w:ascii="Times New Roman" w:eastAsia="Times New Roman" w:hAnsi="Times New Roman" w:cs="Times New Roman"/>
          <w:sz w:val="24"/>
          <w:szCs w:val="24"/>
          <w:lang w:eastAsia="ru-RU"/>
        </w:rPr>
        <w:lastRenderedPageBreak/>
        <w:t>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lastRenderedPageBreak/>
        <w:t>Приложение 1</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 xml:space="preserve">Инструментальное </w:t>
      </w:r>
      <w:proofErr w:type="spellStart"/>
      <w:r w:rsidRPr="009313B3">
        <w:rPr>
          <w:i/>
        </w:rPr>
        <w:t>музицирование</w:t>
      </w:r>
      <w:proofErr w:type="spellEnd"/>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9313B3">
        <w:t>ансамблевость</w:t>
      </w:r>
      <w:proofErr w:type="spellEnd"/>
      <w:r w:rsidRPr="009313B3">
        <w:t xml:space="preserve">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анкета/формуляр, </w:t>
            </w:r>
            <w:proofErr w:type="spellStart"/>
            <w:r w:rsidRPr="009313B3">
              <w:rPr>
                <w:rFonts w:ascii="Times New Roman" w:eastAsia="Times New Roman" w:hAnsi="Times New Roman" w:cs="Times New Roman"/>
                <w:sz w:val="24"/>
                <w:szCs w:val="24"/>
                <w:lang w:eastAsia="ru-RU"/>
              </w:rPr>
              <w:t>аудирование</w:t>
            </w:r>
            <w:proofErr w:type="spellEnd"/>
            <w:r w:rsidRPr="009313B3">
              <w:rPr>
                <w:rFonts w:ascii="Times New Roman" w:eastAsia="Times New Roman" w:hAnsi="Times New Roman" w:cs="Times New Roman"/>
                <w:sz w:val="24"/>
                <w:szCs w:val="24"/>
                <w:lang w:eastAsia="ru-RU"/>
              </w:rPr>
              <w:t>,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инструментальное </w:t>
            </w:r>
            <w:proofErr w:type="spellStart"/>
            <w:r w:rsidRPr="009313B3">
              <w:rPr>
                <w:rFonts w:ascii="Times New Roman" w:eastAsia="Times New Roman" w:hAnsi="Times New Roman" w:cs="Times New Roman"/>
                <w:sz w:val="24"/>
                <w:szCs w:val="24"/>
                <w:lang w:eastAsia="ru-RU"/>
              </w:rPr>
              <w:t>музицирование</w:t>
            </w:r>
            <w:proofErr w:type="spellEnd"/>
            <w:r w:rsidRPr="009313B3">
              <w:rPr>
                <w:rFonts w:ascii="Times New Roman" w:eastAsia="Times New Roman" w:hAnsi="Times New Roman" w:cs="Times New Roman"/>
                <w:sz w:val="24"/>
                <w:szCs w:val="24"/>
                <w:lang w:eastAsia="ru-RU"/>
              </w:rPr>
              <w:t xml:space="preserve">, исследовательская работа, </w:t>
            </w:r>
            <w:r w:rsidRPr="009313B3">
              <w:rPr>
                <w:rFonts w:ascii="Times New Roman" w:eastAsia="Times New Roman" w:hAnsi="Times New Roman" w:cs="Times New Roman"/>
                <w:sz w:val="24"/>
                <w:szCs w:val="24"/>
                <w:lang w:eastAsia="ru-RU"/>
              </w:rPr>
              <w:lastRenderedPageBreak/>
              <w:t>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9313B3">
              <w:rPr>
                <w:rFonts w:ascii="Times New Roman" w:eastAsia="Times New Roman" w:hAnsi="Times New Roman" w:cs="Times New Roman"/>
                <w:sz w:val="24"/>
                <w:szCs w:val="24"/>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1F83"/>
    <w:rsid w:val="000B5266"/>
    <w:rsid w:val="001464D8"/>
    <w:rsid w:val="001D4B15"/>
    <w:rsid w:val="001E6288"/>
    <w:rsid w:val="001F7863"/>
    <w:rsid w:val="00263EC5"/>
    <w:rsid w:val="002E2392"/>
    <w:rsid w:val="003220DD"/>
    <w:rsid w:val="003405FD"/>
    <w:rsid w:val="00377700"/>
    <w:rsid w:val="003A3873"/>
    <w:rsid w:val="00447CA1"/>
    <w:rsid w:val="004C1E2B"/>
    <w:rsid w:val="004C7377"/>
    <w:rsid w:val="005739AE"/>
    <w:rsid w:val="005B7A5D"/>
    <w:rsid w:val="005E34DD"/>
    <w:rsid w:val="005F407D"/>
    <w:rsid w:val="00613227"/>
    <w:rsid w:val="00653946"/>
    <w:rsid w:val="006D57E6"/>
    <w:rsid w:val="006E4BF5"/>
    <w:rsid w:val="00726BC7"/>
    <w:rsid w:val="00886EBC"/>
    <w:rsid w:val="009313B3"/>
    <w:rsid w:val="009A211E"/>
    <w:rsid w:val="009A69FF"/>
    <w:rsid w:val="009F268E"/>
    <w:rsid w:val="009F5F04"/>
    <w:rsid w:val="00A3129B"/>
    <w:rsid w:val="00A648C2"/>
    <w:rsid w:val="00B365FE"/>
    <w:rsid w:val="00C0146E"/>
    <w:rsid w:val="00C87C5D"/>
    <w:rsid w:val="00CA2259"/>
    <w:rsid w:val="00CC04A4"/>
    <w:rsid w:val="00CF5B73"/>
    <w:rsid w:val="00D076A1"/>
    <w:rsid w:val="00D52375"/>
    <w:rsid w:val="00DA10CB"/>
    <w:rsid w:val="00DD3960"/>
    <w:rsid w:val="00E138B8"/>
    <w:rsid w:val="00E14C9E"/>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8CAA6-01EB-46EB-82D8-A8E1DFD3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МБОУ СОШ №3 а.Пчег</cp:lastModifiedBy>
  <cp:revision>2</cp:revision>
  <dcterms:created xsi:type="dcterms:W3CDTF">2024-11-01T14:30:00Z</dcterms:created>
  <dcterms:modified xsi:type="dcterms:W3CDTF">2024-11-01T14:30:00Z</dcterms:modified>
</cp:coreProperties>
</file>