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Предоставление льготного (бесплатного) питания обучающимся в МО</w:t>
      </w:r>
      <w:r>
        <w:rPr>
          <w:rFonts w:ascii="Times New Roman" w:hAnsi="Times New Roman"/>
          <w:b w:val="1"/>
          <w:sz w:val="32"/>
        </w:rPr>
        <w:t>Б</w:t>
      </w:r>
      <w:r>
        <w:rPr>
          <w:rFonts w:ascii="Times New Roman" w:hAnsi="Times New Roman"/>
          <w:b w:val="1"/>
          <w:sz w:val="32"/>
        </w:rPr>
        <w:t>У «</w:t>
      </w:r>
      <w:r>
        <w:rPr>
          <w:rFonts w:ascii="Times New Roman" w:hAnsi="Times New Roman"/>
          <w:b w:val="1"/>
          <w:sz w:val="32"/>
        </w:rPr>
        <w:t>Муринская СОШ</w:t>
      </w:r>
      <w:r>
        <w:rPr>
          <w:rFonts w:ascii="Times New Roman" w:hAnsi="Times New Roman"/>
          <w:b w:val="1"/>
          <w:sz w:val="32"/>
        </w:rPr>
        <w:t xml:space="preserve"> №</w:t>
      </w:r>
      <w:r>
        <w:rPr>
          <w:rFonts w:ascii="Times New Roman" w:hAnsi="Times New Roman"/>
          <w:b w:val="1"/>
          <w:sz w:val="32"/>
        </w:rPr>
        <w:t xml:space="preserve"> 8</w:t>
      </w:r>
      <w:r>
        <w:rPr>
          <w:rFonts w:ascii="Times New Roman" w:hAnsi="Times New Roman"/>
          <w:b w:val="1"/>
          <w:sz w:val="32"/>
        </w:rPr>
        <w:t>» на 202</w:t>
      </w:r>
      <w:r>
        <w:rPr>
          <w:rFonts w:ascii="Times New Roman" w:hAnsi="Times New Roman"/>
          <w:b w:val="1"/>
          <w:sz w:val="32"/>
        </w:rPr>
        <w:t>5</w:t>
      </w:r>
      <w:r>
        <w:rPr>
          <w:rFonts w:ascii="Times New Roman" w:hAnsi="Times New Roman"/>
          <w:b w:val="1"/>
          <w:sz w:val="32"/>
        </w:rPr>
        <w:t>–2026 учебный год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предоставления документов на льготное питание родитель должен посмотреть к какой категории относится их семья. </w:t>
      </w:r>
      <w:r>
        <w:rPr>
          <w:rFonts w:ascii="Times New Roman" w:hAnsi="Times New Roman"/>
          <w:b w:val="1"/>
          <w:sz w:val="28"/>
          <w:u w:val="single"/>
        </w:rPr>
        <w:t>Все родители предоставляют</w:t>
      </w:r>
      <w:r>
        <w:rPr>
          <w:rFonts w:ascii="Times New Roman" w:hAnsi="Times New Roman"/>
          <w:sz w:val="28"/>
        </w:rPr>
        <w:t xml:space="preserve"> общий пакет документов и документы, </w:t>
      </w:r>
      <w:r>
        <w:rPr>
          <w:rFonts w:ascii="Times New Roman" w:hAnsi="Times New Roman"/>
          <w:b w:val="1"/>
          <w:sz w:val="28"/>
        </w:rPr>
        <w:t>подтверждающие состав семьи</w:t>
      </w:r>
      <w:r>
        <w:rPr>
          <w:rFonts w:ascii="Times New Roman" w:hAnsi="Times New Roman"/>
          <w:sz w:val="28"/>
        </w:rPr>
        <w:t xml:space="preserve">, а далее </w:t>
      </w:r>
      <w:r>
        <w:rPr>
          <w:rFonts w:ascii="Times New Roman" w:hAnsi="Times New Roman"/>
          <w:b w:val="1"/>
          <w:sz w:val="28"/>
        </w:rPr>
        <w:t>дополнительные, исходя из 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(см. таблица «Перечень документов»</w:t>
      </w:r>
      <w:r>
        <w:rPr>
          <w:rFonts w:ascii="Times New Roman" w:hAnsi="Times New Roman"/>
          <w:sz w:val="28"/>
        </w:rPr>
        <w:t xml:space="preserve">). 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некоторых категориях, для определения нуждаемости в льготном питании, необходим расчет </w:t>
      </w:r>
      <w:r>
        <w:rPr>
          <w:rFonts w:ascii="Times New Roman" w:hAnsi="Times New Roman"/>
          <w:b w:val="1"/>
          <w:sz w:val="28"/>
          <w:u w:val="single"/>
        </w:rPr>
        <w:t>среднедушевого дохода на одного члена семьи в месяц</w:t>
      </w:r>
      <w:r>
        <w:rPr>
          <w:rFonts w:ascii="Times New Roman" w:hAnsi="Times New Roman"/>
          <w:sz w:val="28"/>
        </w:rPr>
        <w:t xml:space="preserve"> (это дети из приёмных семей, многодетные и малоимущие семьи). Расчёт доходов осуществляется за последние </w:t>
      </w:r>
      <w:r>
        <w:rPr>
          <w:rFonts w:ascii="Times New Roman" w:hAnsi="Times New Roman"/>
          <w:b w:val="1"/>
          <w:sz w:val="28"/>
        </w:rPr>
        <w:t>12 календарных месяцев</w:t>
      </w:r>
      <w:r>
        <w:rPr>
          <w:rFonts w:ascii="Times New Roman" w:hAnsi="Times New Roman"/>
          <w:sz w:val="28"/>
        </w:rPr>
        <w:t xml:space="preserve">, предшествующих одному календарному месяцу, перед месяцем подачи заявления (см. </w:t>
      </w:r>
      <w:r>
        <w:rPr>
          <w:rFonts w:ascii="Times New Roman" w:hAnsi="Times New Roman"/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L="114300" distR="114300" layoutInCell="true" locked="false" relativeHeight="251658240" simplePos="false">
                <wp:simplePos x="0" y="0"/>
                <wp:positionH relativeFrom="column">
                  <wp:posOffset>-193230</wp:posOffset>
                </wp:positionH>
                <wp:positionV relativeFrom="page">
                  <wp:posOffset>4594973</wp:posOffset>
                </wp:positionV>
                <wp:extent cx="6318747" cy="1466534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18747" cy="1466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B290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background1" w:val="FFFFFF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ctr" bIns="46800" lIns="90000" rIns="90000" tIns="4680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 xml:space="preserve">таблицу «Расчёт доходов»). </w:t>
      </w:r>
    </w:p>
    <w:p w14:paraId="05000000">
      <w:pPr>
        <w:ind/>
        <w:jc w:val="center"/>
        <w:rPr>
          <w:rFonts w:ascii="Times New Roman" w:hAnsi="Times New Roman"/>
          <w:sz w:val="28"/>
          <w:highlight w:val="yellow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yellow"/>
        </w:rPr>
        <w:t>Расчёт доходов производится по формуле: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(Все доходы семьи : 12 месяцев)</w:t>
      </w:r>
      <w:r>
        <w:rPr>
          <w:rFonts w:ascii="Times New Roman" w:hAnsi="Times New Roman"/>
          <w:sz w:val="28"/>
        </w:rPr>
        <w:t xml:space="preserve"> : </w:t>
      </w:r>
      <w:r>
        <w:rPr>
          <w:rFonts w:ascii="Times New Roman" w:hAnsi="Times New Roman"/>
          <w:b w:val="1"/>
          <w:i w:val="1"/>
          <w:sz w:val="28"/>
        </w:rPr>
        <w:t>на кол-во человек в семье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b w:val="1"/>
          <w:i w:val="1"/>
          <w:sz w:val="28"/>
        </w:rPr>
        <w:t xml:space="preserve">СДД на 1 человека </w:t>
      </w:r>
    </w:p>
    <w:p w14:paraId="09000000">
      <w:pPr>
        <w:ind/>
        <w:jc w:val="both"/>
        <w:rPr>
          <w:rFonts w:ascii="Times New Roman" w:hAnsi="Times New Roman"/>
          <w:sz w:val="28"/>
        </w:rPr>
      </w:pP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эта сумма </w:t>
      </w:r>
      <w:r>
        <w:rPr>
          <w:rFonts w:ascii="Times New Roman" w:hAnsi="Times New Roman"/>
          <w:b w:val="1"/>
          <w:sz w:val="28"/>
        </w:rPr>
        <w:t>не превышает</w:t>
      </w:r>
      <w:r>
        <w:rPr>
          <w:rFonts w:ascii="Times New Roman" w:hAnsi="Times New Roman"/>
          <w:sz w:val="28"/>
        </w:rPr>
        <w:t xml:space="preserve"> 100% (48 400 руб.), 70% (33 880 руб.) или 40% (19 360 руб.) от величины среднедушевого дохода, сложившегося в ЛО, то обучающийся </w:t>
      </w:r>
      <w:r>
        <w:rPr>
          <w:rFonts w:ascii="Times New Roman" w:hAnsi="Times New Roman"/>
          <w:b w:val="1"/>
          <w:sz w:val="28"/>
        </w:rPr>
        <w:t xml:space="preserve">имеет право </w:t>
      </w:r>
      <w:r>
        <w:rPr>
          <w:rFonts w:ascii="Times New Roman" w:hAnsi="Times New Roman"/>
          <w:sz w:val="28"/>
        </w:rPr>
        <w:t>на льготное питание</w:t>
      </w:r>
      <w:r>
        <w:rPr>
          <w:rFonts w:ascii="Times New Roman" w:hAnsi="Times New Roman"/>
          <w:sz w:val="28"/>
        </w:rPr>
        <w:t xml:space="preserve">. Если </w:t>
      </w:r>
      <w:r>
        <w:rPr>
          <w:rFonts w:ascii="Times New Roman" w:hAnsi="Times New Roman"/>
          <w:b w:val="1"/>
          <w:sz w:val="28"/>
        </w:rPr>
        <w:t>превышает</w:t>
      </w:r>
      <w:r>
        <w:rPr>
          <w:rFonts w:ascii="Times New Roman" w:hAnsi="Times New Roman"/>
          <w:sz w:val="28"/>
        </w:rPr>
        <w:t xml:space="preserve"> – обучающемуся </w:t>
      </w:r>
      <w:r>
        <w:rPr>
          <w:rFonts w:ascii="Times New Roman" w:hAnsi="Times New Roman"/>
          <w:b w:val="1"/>
          <w:sz w:val="28"/>
        </w:rPr>
        <w:t xml:space="preserve">невозможно предоставить </w:t>
      </w:r>
      <w:r>
        <w:rPr>
          <w:rFonts w:ascii="Times New Roman" w:hAnsi="Times New Roman"/>
          <w:sz w:val="28"/>
        </w:rPr>
        <w:t>льготное</w:t>
      </w:r>
      <w:r>
        <w:rPr>
          <w:rFonts w:ascii="Times New Roman" w:hAnsi="Times New Roman"/>
          <w:sz w:val="28"/>
        </w:rPr>
        <w:t xml:space="preserve"> питание.</w:t>
      </w:r>
    </w:p>
    <w:p w14:paraId="0B000000">
      <w:pPr>
        <w:ind/>
        <w:jc w:val="both"/>
        <w:rPr>
          <w:rFonts w:ascii="Times New Roman" w:hAnsi="Times New Roman"/>
          <w:sz w:val="28"/>
        </w:rPr>
      </w:pP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того, как законный представитель соберет необходимый пакет документов – он предоставляет его </w:t>
      </w:r>
      <w:r>
        <w:rPr>
          <w:rFonts w:ascii="Times New Roman" w:hAnsi="Times New Roman"/>
          <w:b w:val="1"/>
          <w:sz w:val="28"/>
        </w:rPr>
        <w:t>для проверки и расчёта нуждаемости ответственному</w:t>
      </w:r>
      <w:r>
        <w:rPr>
          <w:rFonts w:ascii="Times New Roman" w:hAnsi="Times New Roman"/>
          <w:sz w:val="28"/>
        </w:rPr>
        <w:t xml:space="preserve"> по питанию. Если данная семья подходит под критерии нуждаемости, то </w:t>
      </w:r>
      <w:r>
        <w:rPr>
          <w:rFonts w:ascii="Times New Roman" w:hAnsi="Times New Roman"/>
          <w:b w:val="1"/>
          <w:sz w:val="28"/>
        </w:rPr>
        <w:t>законный представитель пишет заявление</w:t>
      </w:r>
      <w:r>
        <w:rPr>
          <w:rFonts w:ascii="Times New Roman" w:hAnsi="Times New Roman"/>
          <w:sz w:val="28"/>
        </w:rPr>
        <w:t xml:space="preserve"> на предоставление бесплатного питания.</w:t>
      </w:r>
    </w:p>
    <w:p w14:paraId="0D000000">
      <w:pPr>
        <w:ind/>
        <w:jc w:val="both"/>
        <w:rPr>
          <w:rFonts w:ascii="Times New Roman" w:hAnsi="Times New Roman"/>
          <w:sz w:val="28"/>
        </w:rPr>
      </w:pPr>
    </w:p>
    <w:p w14:paraId="0E000000">
      <w:pPr>
        <w:ind/>
        <w:jc w:val="both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 xml:space="preserve">Приём документов осуществляется в дни и часы работы ответственного по питанию, либо по предварительной записи! 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Отв. по питанию: </w:t>
      </w:r>
      <w:r>
        <w:rPr>
          <w:rFonts w:ascii="Times New Roman" w:hAnsi="Times New Roman"/>
          <w:sz w:val="28"/>
        </w:rPr>
        <w:t>Карасени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Диан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Иосифо</w:t>
      </w:r>
      <w:r>
        <w:rPr>
          <w:rFonts w:ascii="Times New Roman" w:hAnsi="Times New Roman"/>
          <w:sz w:val="28"/>
        </w:rPr>
        <w:t xml:space="preserve">вна 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для связи: 8(911)</w:t>
      </w:r>
      <w:r>
        <w:rPr>
          <w:rFonts w:ascii="Times New Roman" w:hAnsi="Times New Roman"/>
          <w:sz w:val="28"/>
        </w:rPr>
        <w:t>227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 xml:space="preserve">–23 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Почта: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"mailto:karaseni-evdokia@mail.ru"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karaseni-evdokia</w:t>
      </w:r>
      <w:r>
        <w:rPr>
          <w:rStyle w:val="Style_2_ch"/>
          <w:rFonts w:ascii="Times New Roman" w:hAnsi="Times New Roman"/>
          <w:sz w:val="28"/>
        </w:rPr>
        <w:t>@mail.ru</w:t>
      </w:r>
      <w:r>
        <w:rPr>
          <w:rStyle w:val="Style_2_ch"/>
          <w:rFonts w:ascii="Times New Roman" w:hAnsi="Times New Roman"/>
          <w:sz w:val="28"/>
        </w:rPr>
        <w:fldChar w:fldCharType="end"/>
      </w:r>
    </w:p>
    <w:p w14:paraId="12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Таблица «Перечень документов»</w:t>
      </w:r>
    </w:p>
    <w:tbl>
      <w:tblPr>
        <w:tblStyle w:val="Style_3"/>
        <w:tblW w:type="auto" w:w="0"/>
        <w:tblLayout w:type="fixed"/>
      </w:tblPr>
      <w:tblGrid>
        <w:gridCol w:w="4672"/>
        <w:gridCol w:w="4673"/>
      </w:tblGrid>
      <w:tr>
        <w:tc>
          <w:tcPr>
            <w:tcW w:type="dxa" w:w="9345"/>
            <w:gridSpan w:val="2"/>
            <w:shd w:fill="9DDA28" w:val="clear"/>
            <w:vAlign w:val="center"/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Общий пакет документов (для всех категорий)</w:t>
            </w:r>
          </w:p>
        </w:tc>
      </w:tr>
      <w:tr>
        <w:trPr>
          <w:trHeight w:hRule="atLeast" w:val="1807"/>
        </w:trPr>
        <w:tc>
          <w:tcPr>
            <w:tcW w:type="dxa" w:w="4672"/>
            <w:vAlign w:val="center"/>
          </w:tcPr>
          <w:p w14:paraId="1400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оригиналы и копии</w:t>
            </w:r>
          </w:p>
        </w:tc>
        <w:tc>
          <w:tcPr>
            <w:tcW w:type="dxa" w:w="4673"/>
          </w:tcPr>
          <w:p w14:paraId="15000000">
            <w:pPr>
              <w:pStyle w:val="Style_4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Свидетельство о рождении обучающегося </w:t>
            </w:r>
            <w:r>
              <w:rPr>
                <w:rFonts w:ascii="Times New Roman" w:hAnsi="Times New Roman"/>
                <w:b w:val="1"/>
                <w:sz w:val="24"/>
              </w:rPr>
              <w:t>либо</w:t>
            </w:r>
            <w:r>
              <w:rPr>
                <w:rFonts w:ascii="Times New Roman" w:hAnsi="Times New Roman"/>
                <w:sz w:val="24"/>
              </w:rPr>
              <w:t xml:space="preserve"> паспорт обучающегося; </w:t>
            </w:r>
          </w:p>
          <w:p w14:paraId="16000000">
            <w:pPr>
              <w:pStyle w:val="Style_4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заявителя;</w:t>
            </w:r>
          </w:p>
          <w:p w14:paraId="17000000">
            <w:pPr>
              <w:pStyle w:val="Style_4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 обучающегося;</w:t>
            </w:r>
          </w:p>
          <w:p w14:paraId="18000000">
            <w:pPr>
              <w:pStyle w:val="Style_4"/>
              <w:numPr>
                <w:numId w:val="1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 обучающегося;</w:t>
            </w:r>
          </w:p>
          <w:p w14:paraId="19000000">
            <w:pPr>
              <w:pStyle w:val="Style_4"/>
              <w:numPr>
                <w:numId w:val="1"/>
              </w:numPr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Документ, подтверждающий состав семьи обучающегося.</w:t>
            </w:r>
          </w:p>
        </w:tc>
      </w:tr>
      <w:tr>
        <w:tc>
          <w:tcPr>
            <w:tcW w:type="dxa" w:w="4672"/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документы, подтверждающие состав семьи  </w:t>
            </w:r>
          </w:p>
        </w:tc>
        <w:tc>
          <w:tcPr>
            <w:tcW w:type="dxa" w:w="4673"/>
          </w:tcPr>
          <w:p w14:paraId="1B000000">
            <w:pPr>
              <w:pStyle w:val="Style_4"/>
              <w:numPr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Свидетельство о рождении ребенка (детей) </w:t>
            </w:r>
            <w:r>
              <w:rPr>
                <w:rFonts w:ascii="Times New Roman" w:hAnsi="Times New Roman"/>
                <w:b w:val="1"/>
                <w:sz w:val="24"/>
              </w:rPr>
              <w:t>либо</w:t>
            </w:r>
            <w:r>
              <w:rPr>
                <w:rFonts w:ascii="Times New Roman" w:hAnsi="Times New Roman"/>
                <w:sz w:val="24"/>
              </w:rPr>
              <w:t xml:space="preserve"> Справка о составе многодетной семьи, выданная ЛОГКУ «ЦСЗН»;</w:t>
            </w:r>
          </w:p>
          <w:p w14:paraId="1C000000">
            <w:pPr>
              <w:pStyle w:val="Style_4"/>
              <w:numPr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 об установлении отцовства ребенка (детей), рожденного вне брака;</w:t>
            </w:r>
          </w:p>
          <w:p w14:paraId="1D000000">
            <w:pPr>
              <w:pStyle w:val="Style_4"/>
              <w:numPr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 о браке;</w:t>
            </w:r>
          </w:p>
          <w:p w14:paraId="1E000000">
            <w:pPr>
              <w:pStyle w:val="Style_4"/>
              <w:numPr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 о расторжении брака;</w:t>
            </w:r>
          </w:p>
          <w:p w14:paraId="1F000000">
            <w:pPr>
              <w:pStyle w:val="Style_4"/>
              <w:numPr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 о смерти родителя (родителей);</w:t>
            </w:r>
          </w:p>
          <w:p w14:paraId="20000000">
            <w:pPr>
              <w:pStyle w:val="Style_4"/>
              <w:numPr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Нотариальное соглашение или решение суда о том, с кем из разведенных родителей проживают дети.</w:t>
            </w:r>
          </w:p>
        </w:tc>
      </w:tr>
      <w:tr>
        <w:trPr>
          <w:trHeight w:hRule="atLeast" w:val="249"/>
        </w:trPr>
        <w:tc>
          <w:tcPr>
            <w:tcW w:type="dxa" w:w="9345"/>
            <w:gridSpan w:val="2"/>
            <w:shd w:fill="9DDA28" w:val="clea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Дополнительно (по категориям)</w:t>
            </w:r>
          </w:p>
        </w:tc>
      </w:tr>
      <w:tr>
        <w:tc>
          <w:tcPr>
            <w:tcW w:type="dxa" w:w="4672"/>
          </w:tcPr>
          <w:p w14:paraId="2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К-1.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Дети, состоящие на учете в противотуберкулезном диспансере</w:t>
            </w:r>
          </w:p>
        </w:tc>
        <w:tc>
          <w:tcPr>
            <w:tcW w:type="dxa" w:w="4673"/>
            <w:vAlign w:val="center"/>
          </w:tcPr>
          <w:p w14:paraId="23000000">
            <w:pPr>
              <w:pStyle w:val="Style_4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 о том, что обучающийся состоит на учете в </w:t>
            </w:r>
            <w:r>
              <w:rPr>
                <w:rFonts w:ascii="Times New Roman" w:hAnsi="Times New Roman"/>
                <w:sz w:val="24"/>
              </w:rPr>
              <w:t>противотуберкулезном диспансере</w:t>
            </w:r>
          </w:p>
        </w:tc>
      </w:tr>
      <w:tr>
        <w:tc>
          <w:tcPr>
            <w:tcW w:type="dxa" w:w="4672"/>
          </w:tcPr>
          <w:p w14:paraId="2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К-2.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Дети из семей, где один из родителей (оба родителя) погиб (погибли) при выполнении служебных обязанностей в качестве военнослужащего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ражданина, призванного на военные сборы, лица рядового, начальствующего состава органов внутренних дел РФ, государственной противопожарной службы, органов по контролю за оборотом наркотических средств и психотропных веществ, сотрудника учреждений и органов уголовно – исполнительной системы</w:t>
            </w:r>
          </w:p>
        </w:tc>
        <w:tc>
          <w:tcPr>
            <w:tcW w:type="dxa" w:w="4673"/>
            <w:vAlign w:val="center"/>
          </w:tcPr>
          <w:p w14:paraId="2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о получении пенсии по случаю потери кормильца</w:t>
            </w:r>
          </w:p>
        </w:tc>
      </w:tr>
      <w:tr>
        <w:tc>
          <w:tcPr>
            <w:tcW w:type="dxa" w:w="4672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К-3.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Дети, находящиеся в трудной жизненной ситуации:</w:t>
            </w:r>
          </w:p>
        </w:tc>
        <w:tc>
          <w:tcPr>
            <w:tcW w:type="dxa" w:w="4673"/>
          </w:tcPr>
          <w:p w14:paraId="27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u w:val="single"/>
              </w:rPr>
              <w:t>Для детей — инвалидов: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28000000">
            <w:pPr>
              <w:rPr>
                <w:rFonts w:ascii="Times New Roman" w:hAnsi="Times New Roman"/>
                <w:sz w:val="28"/>
              </w:rPr>
            </w:pPr>
          </w:p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едико-социально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экспертизы об установлении инвалидности ребенка.</w:t>
            </w:r>
          </w:p>
        </w:tc>
      </w:tr>
      <w:tr>
        <w:tc>
          <w:tcPr>
            <w:tcW w:type="dxa" w:w="4672"/>
          </w:tcPr>
          <w:p w14:paraId="2A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673"/>
          </w:tcPr>
          <w:p w14:paraId="2B000000">
            <w:pPr>
              <w:rPr>
                <w:rFonts w:ascii="Times New Roman" w:hAnsi="Times New Roman"/>
                <w:b w:val="1"/>
                <w:i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u w:val="single"/>
              </w:rPr>
              <w:t>Для детей с ограниченными возможностями здоровья:</w:t>
            </w:r>
          </w:p>
          <w:p w14:paraId="2C000000">
            <w:pPr>
              <w:rPr>
                <w:rFonts w:ascii="Times New Roman" w:hAnsi="Times New Roman"/>
                <w:b w:val="1"/>
                <w:i w:val="1"/>
                <w:sz w:val="28"/>
                <w:u w:val="single"/>
              </w:rPr>
            </w:pPr>
          </w:p>
          <w:p w14:paraId="2D00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Заключение областной или территориальной психолого-медико-педагогической комиссии о том, что обучающийся является ребенком с ограниченными возможностями здоровья.</w:t>
            </w:r>
          </w:p>
        </w:tc>
      </w:tr>
      <w:tr>
        <w:tc>
          <w:tcPr>
            <w:tcW w:type="dxa" w:w="4672"/>
          </w:tcPr>
          <w:p w14:paraId="2E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673"/>
          </w:tcPr>
          <w:p w14:paraId="2F000000">
            <w:pPr>
              <w:rPr>
                <w:rFonts w:ascii="Times New Roman" w:hAnsi="Times New Roman"/>
                <w:b w:val="1"/>
                <w:i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u w:val="single"/>
              </w:rPr>
              <w:t>Для детей - жертв вооруженных и межнациональных конфликтов, экологических u техногенных катастроф, стихийных бедствий:</w:t>
            </w:r>
          </w:p>
          <w:p w14:paraId="30000000">
            <w:pPr>
              <w:rPr>
                <w:rFonts w:ascii="Times New Roman" w:hAnsi="Times New Roman"/>
                <w:i w:val="1"/>
                <w:sz w:val="28"/>
                <w:u w:val="single"/>
              </w:rPr>
            </w:pPr>
          </w:p>
          <w:p w14:paraId="31000000">
            <w:pPr>
              <w:numPr>
                <w:numId w:val="3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Удостоверение родителя (родителей) обучающегося, подвергшегося радиоактивному загрязнению вследствие катастрофы на Чернобыльской АЭС (для жертв экологических и техногенных катастроф)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32000000">
            <w:pPr>
              <w:numPr>
                <w:numId w:val="3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подтверждающие, что ребенок относится к указанной категории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4672"/>
          </w:tcPr>
          <w:p w14:paraId="33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673"/>
          </w:tcPr>
          <w:p w14:paraId="34000000">
            <w:pPr>
              <w:rPr>
                <w:rFonts w:ascii="Times New Roman" w:hAnsi="Times New Roman"/>
                <w:b w:val="1"/>
                <w:i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u w:val="single"/>
              </w:rPr>
              <w:t xml:space="preserve">Для детей из семьи беженцев u переселенцев: </w:t>
            </w:r>
          </w:p>
          <w:p w14:paraId="35000000">
            <w:pPr>
              <w:rPr>
                <w:rFonts w:ascii="Times New Roman" w:hAnsi="Times New Roman"/>
                <w:i w:val="1"/>
                <w:sz w:val="28"/>
                <w:u w:val="single"/>
              </w:rPr>
            </w:pPr>
          </w:p>
          <w:p w14:paraId="36000000">
            <w:pPr>
              <w:numPr>
                <w:numId w:val="4"/>
              </w:numPr>
              <w:ind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Удостоверение беженца (переселенца); </w:t>
            </w:r>
          </w:p>
          <w:p w14:paraId="37000000">
            <w:pPr>
              <w:numPr>
                <w:numId w:val="4"/>
              </w:numPr>
              <w:ind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Документ, подтверждающий временное проживание на территории ЛО.</w:t>
            </w:r>
          </w:p>
        </w:tc>
      </w:tr>
      <w:tr>
        <w:tc>
          <w:tcPr>
            <w:tcW w:type="dxa" w:w="4672"/>
          </w:tcPr>
          <w:p w14:paraId="38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673"/>
          </w:tcPr>
          <w:p w14:paraId="39000000">
            <w:pPr>
              <w:rPr>
                <w:rFonts w:ascii="Times New Roman" w:hAnsi="Times New Roman"/>
                <w:b w:val="1"/>
                <w:i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  <w:u w:val="single"/>
              </w:rPr>
              <w:t xml:space="preserve">Для детей, оказавшихся в экстремальных условиях, детей - жертв насилия, детей, жизнедеятельность которых объективно нарушено в результате сложившихся обстоятельств u которые не могут преодолеть данные обстоятельства самостоятельно или с помощью семьи, детей с отклонениями в поведении: </w:t>
            </w:r>
          </w:p>
          <w:p w14:paraId="3A000000">
            <w:pPr>
              <w:rPr>
                <w:rFonts w:ascii="Times New Roman" w:hAnsi="Times New Roman"/>
                <w:i w:val="1"/>
                <w:sz w:val="28"/>
                <w:u w:val="single"/>
              </w:rPr>
            </w:pPr>
          </w:p>
          <w:p w14:paraId="3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о том, что дети относятся к одной из указанных категорий, выданная органом системы профилактике безнадзорности и правонарушений несовершеннолетних во ВМР ЛО</w:t>
            </w:r>
          </w:p>
        </w:tc>
      </w:tr>
      <w:tr>
        <w:tc>
          <w:tcPr>
            <w:tcW w:type="dxa" w:w="4672"/>
          </w:tcPr>
          <w:p w14:paraId="3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К-4. </w:t>
            </w:r>
            <w:r>
              <w:rPr>
                <w:rFonts w:ascii="Times New Roman" w:hAnsi="Times New Roman"/>
                <w:sz w:val="24"/>
              </w:rPr>
              <w:t>Усыновленные дети</w:t>
            </w:r>
          </w:p>
        </w:tc>
        <w:tc>
          <w:tcPr>
            <w:tcW w:type="dxa" w:w="4673"/>
          </w:tcPr>
          <w:p w14:paraId="3D000000">
            <w:pPr>
              <w:rPr>
                <w:rFonts w:ascii="Times New Roman" w:hAnsi="Times New Roman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Решение суда об усыновлении</w:t>
            </w:r>
          </w:p>
        </w:tc>
      </w:tr>
      <w:tr>
        <w:tc>
          <w:tcPr>
            <w:tcW w:type="dxa" w:w="4672"/>
            <w:vAlign w:val="center"/>
          </w:tcPr>
          <w:p w14:paraId="3E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К-5. </w:t>
            </w:r>
            <w:r>
              <w:rPr>
                <w:rFonts w:ascii="Times New Roman" w:hAnsi="Times New Roman"/>
                <w:sz w:val="24"/>
              </w:rPr>
              <w:t>Дет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из приемных семей, где среднедушевой доход члена семьи не превышает 70% от величины </w:t>
            </w:r>
            <w:r>
              <w:rPr>
                <w:rFonts w:ascii="Times New Roman" w:hAnsi="Times New Roman"/>
                <w:sz w:val="24"/>
              </w:rPr>
              <w:t xml:space="preserve">среднего дохода, сложившегося в ЛО </w:t>
            </w:r>
            <w:r>
              <w:rPr>
                <w:rFonts w:ascii="Times New Roman" w:hAnsi="Times New Roman"/>
                <w:b w:val="1"/>
                <w:sz w:val="24"/>
                <w:highlight w:val="yellow"/>
              </w:rPr>
              <w:t>(33.880 руб.)</w:t>
            </w:r>
          </w:p>
        </w:tc>
        <w:tc>
          <w:tcPr>
            <w:tcW w:type="dxa" w:w="4673"/>
          </w:tcPr>
          <w:p w14:paraId="3F000000">
            <w:pPr>
              <w:pStyle w:val="Style_4"/>
              <w:numPr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Договор о приемной семье; </w:t>
            </w:r>
          </w:p>
          <w:p w14:paraId="40000000">
            <w:pPr>
              <w:pStyle w:val="Style_4"/>
              <w:numPr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доходах всех членов семьи за последние 12 календарных месяцев, предшествующих одному календарному месяцу, перед месяцем подачи заявления </w:t>
            </w:r>
            <w:r>
              <w:rPr>
                <w:rFonts w:ascii="Times New Roman" w:hAnsi="Times New Roman"/>
                <w:b w:val="1"/>
                <w:sz w:val="24"/>
              </w:rPr>
              <w:t>либо</w:t>
            </w:r>
            <w:r>
              <w:rPr>
                <w:rFonts w:ascii="Times New Roman" w:hAnsi="Times New Roman"/>
                <w:sz w:val="24"/>
              </w:rPr>
              <w:t xml:space="preserve"> справку о 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величине 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>среднедушевого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 xml:space="preserve">дохода (СДД) </w:t>
            </w:r>
            <w:r>
              <w:rPr>
                <w:rFonts w:ascii="Times New Roman" w:hAnsi="Times New Roman"/>
                <w:sz w:val="24"/>
              </w:rPr>
              <w:t xml:space="preserve">гражданина (семьи) для предъявления в дошкольные образовательные организации и общеобразовательные организации Ленинградской области,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выданную ЛОГКУ «ЦСЗН» по форме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1000000">
            <w:pPr>
              <w:pStyle w:val="Style_4"/>
              <w:numPr>
                <w:numId w:val="5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отсутствия</w:t>
            </w:r>
            <w:r>
              <w:rPr>
                <w:rFonts w:ascii="Times New Roman" w:hAnsi="Times New Roman"/>
                <w:sz w:val="24"/>
              </w:rPr>
              <w:t xml:space="preserve"> сведений о доходах члена семьи прилагается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копия трудовой книжки</w:t>
            </w:r>
            <w:r>
              <w:rPr>
                <w:rFonts w:ascii="Times New Roman" w:hAnsi="Times New Roman"/>
                <w:sz w:val="24"/>
              </w:rPr>
              <w:t xml:space="preserve"> с последним местом работы члена семьи и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заявление</w:t>
            </w:r>
            <w:r>
              <w:rPr>
                <w:rFonts w:ascii="Times New Roman" w:hAnsi="Times New Roman"/>
                <w:sz w:val="24"/>
              </w:rPr>
              <w:t xml:space="preserve"> об отсутствии доходов.</w:t>
            </w:r>
          </w:p>
        </w:tc>
      </w:tr>
      <w:tr>
        <w:tc>
          <w:tcPr>
            <w:tcW w:type="dxa" w:w="4672"/>
            <w:vAlign w:val="center"/>
          </w:tcPr>
          <w:p w14:paraId="42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К-6. </w:t>
            </w:r>
            <w:r>
              <w:rPr>
                <w:rFonts w:ascii="Times New Roman" w:hAnsi="Times New Roman"/>
                <w:sz w:val="24"/>
              </w:rPr>
              <w:t>Детям из многодетных семей, где среднедушевой доход члена семьи не превышает 100% от величины среднего дохода, сложившегося в ЛО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  <w:highlight w:val="yellow"/>
              </w:rPr>
              <w:t>(48.400 руб.)</w:t>
            </w:r>
          </w:p>
        </w:tc>
        <w:tc>
          <w:tcPr>
            <w:tcW w:type="dxa" w:w="4673"/>
          </w:tcPr>
          <w:p w14:paraId="43000000">
            <w:pPr>
              <w:pStyle w:val="Style_4"/>
              <w:numPr>
                <w:numId w:val="6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Удостоверение или справка многодетной семьи, выданное ЛОГКУ «ЦСЗН»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либо</w:t>
            </w:r>
            <w:r>
              <w:rPr>
                <w:rFonts w:ascii="Times New Roman" w:hAnsi="Times New Roman"/>
                <w:sz w:val="24"/>
              </w:rPr>
              <w:t xml:space="preserve"> свидетельства о рождении троих и более детей (если нет удостоверения или справки многодетной семьи); </w:t>
            </w:r>
          </w:p>
          <w:p w14:paraId="44000000">
            <w:pPr>
              <w:pStyle w:val="Style_4"/>
              <w:numPr>
                <w:numId w:val="6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Справку об обучении совершеннолетнего ребенка (до 23 лет) в образовательной организации по очной форме обучения и получении (неполучении) им стипендии;</w:t>
            </w:r>
          </w:p>
          <w:p w14:paraId="45000000">
            <w:pPr>
              <w:pStyle w:val="Style_4"/>
              <w:numPr>
                <w:numId w:val="6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доходах всех членов семьи за последние 12 календарных месяцев, </w:t>
            </w:r>
            <w:r>
              <w:rPr>
                <w:rFonts w:ascii="Times New Roman" w:hAnsi="Times New Roman"/>
                <w:sz w:val="24"/>
              </w:rPr>
              <w:t xml:space="preserve">предшествующих одному календарному месяцу, перед месяцем подачи заявления </w:t>
            </w:r>
            <w:r>
              <w:rPr>
                <w:rFonts w:ascii="Times New Roman" w:hAnsi="Times New Roman"/>
                <w:b w:val="1"/>
                <w:sz w:val="24"/>
              </w:rPr>
              <w:t>либо</w:t>
            </w:r>
            <w:r>
              <w:rPr>
                <w:rFonts w:ascii="Times New Roman" w:hAnsi="Times New Roman"/>
                <w:sz w:val="24"/>
              </w:rPr>
              <w:t xml:space="preserve"> справку о 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величине 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>среднедушевого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 xml:space="preserve">дохода (СДД) </w:t>
            </w:r>
            <w:r>
              <w:rPr>
                <w:rFonts w:ascii="Times New Roman" w:hAnsi="Times New Roman"/>
                <w:sz w:val="24"/>
              </w:rPr>
              <w:t xml:space="preserve">гражданина (семьи) для предъявления в дошкольные образовательные организации и общеобразовательные организации Ленинградской области,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выданную ЛОГКУ «ЦСЗН» по форме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6000000">
            <w:pPr>
              <w:pStyle w:val="Style_4"/>
              <w:numPr>
                <w:numId w:val="6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отсутствия</w:t>
            </w:r>
            <w:r>
              <w:rPr>
                <w:rFonts w:ascii="Times New Roman" w:hAnsi="Times New Roman"/>
                <w:sz w:val="24"/>
              </w:rPr>
              <w:t xml:space="preserve"> сведений о доходах члена семьи прилагается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копия трудовой книжки</w:t>
            </w:r>
            <w:r>
              <w:rPr>
                <w:rFonts w:ascii="Times New Roman" w:hAnsi="Times New Roman"/>
                <w:sz w:val="24"/>
              </w:rPr>
              <w:t xml:space="preserve"> с последним местом работы члена семьи и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заявление</w:t>
            </w:r>
            <w:r>
              <w:rPr>
                <w:rFonts w:ascii="Times New Roman" w:hAnsi="Times New Roman"/>
                <w:sz w:val="24"/>
              </w:rPr>
              <w:t xml:space="preserve"> об отсутствии доходов.</w:t>
            </w:r>
          </w:p>
        </w:tc>
      </w:tr>
      <w:tr>
        <w:trPr>
          <w:trHeight w:hRule="atLeast" w:val="5491"/>
        </w:trPr>
        <w:tc>
          <w:tcPr>
            <w:tcW w:type="dxa" w:w="4672"/>
            <w:vAlign w:val="center"/>
          </w:tcPr>
          <w:p w14:paraId="47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К-7. </w:t>
            </w:r>
            <w:r>
              <w:rPr>
                <w:rFonts w:ascii="Times New Roman" w:hAnsi="Times New Roman"/>
                <w:sz w:val="24"/>
              </w:rPr>
              <w:t>Детям из семей, где среднедушевой доход члена семьи не превышает 40% от величины среднего дохода, сложившегося в ЛО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  <w:highlight w:val="yellow"/>
              </w:rPr>
              <w:t>(19.360 руб.)</w:t>
            </w:r>
          </w:p>
        </w:tc>
        <w:tc>
          <w:tcPr>
            <w:tcW w:type="dxa" w:w="4673"/>
          </w:tcPr>
          <w:p w14:paraId="48000000">
            <w:pPr>
              <w:numPr>
                <w:numId w:val="7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доходах всех членов семьи за последние 12 календарных месяцев, предшествующих одному календарному месяцу, перед месяцем подачи заявления </w:t>
            </w:r>
            <w:r>
              <w:rPr>
                <w:rFonts w:ascii="Times New Roman" w:hAnsi="Times New Roman"/>
                <w:b w:val="1"/>
                <w:sz w:val="24"/>
              </w:rPr>
              <w:t>либо</w:t>
            </w:r>
            <w:r>
              <w:rPr>
                <w:rFonts w:ascii="Times New Roman" w:hAnsi="Times New Roman"/>
                <w:sz w:val="24"/>
              </w:rPr>
              <w:t xml:space="preserve"> справку о 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величине 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>среднедушевого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 xml:space="preserve">дохода (СДД) </w:t>
            </w:r>
            <w:r>
              <w:rPr>
                <w:rFonts w:ascii="Times New Roman" w:hAnsi="Times New Roman"/>
                <w:sz w:val="24"/>
              </w:rPr>
              <w:t xml:space="preserve">гражданина (семьи) для предъявления в дошкольные образовательные организации и общеобразовательные организации Ленинградской области,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выданную ЛОГКУ «ЦСЗН» по форме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9000000">
            <w:pPr>
              <w:pStyle w:val="Style_4"/>
              <w:numPr>
                <w:numId w:val="7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отсутствия</w:t>
            </w:r>
            <w:r>
              <w:rPr>
                <w:rFonts w:ascii="Times New Roman" w:hAnsi="Times New Roman"/>
                <w:sz w:val="24"/>
              </w:rPr>
              <w:t xml:space="preserve"> сведений о доходах члена семьи прилагается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копия трудовой книжки</w:t>
            </w:r>
            <w:r>
              <w:rPr>
                <w:rFonts w:ascii="Times New Roman" w:hAnsi="Times New Roman"/>
                <w:sz w:val="24"/>
              </w:rPr>
              <w:t xml:space="preserve"> с последним местом работы члена семьи и</w:t>
            </w:r>
            <w:r>
              <w:rPr>
                <w:rFonts w:ascii="Times New Roman" w:hAnsi="Times New Roman"/>
                <w:b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заявление</w:t>
            </w:r>
            <w:r>
              <w:rPr>
                <w:rFonts w:ascii="Times New Roman" w:hAnsi="Times New Roman"/>
                <w:sz w:val="24"/>
              </w:rPr>
              <w:t xml:space="preserve"> об отсутствии доходов.</w:t>
            </w:r>
          </w:p>
        </w:tc>
      </w:tr>
      <w:tr>
        <w:trPr>
          <w:trHeight w:hRule="atLeast" w:val="2790"/>
        </w:trPr>
        <w:tc>
          <w:tcPr>
            <w:tcW w:type="dxa" w:w="4672"/>
            <w:vAlign w:val="center"/>
          </w:tcPr>
          <w:p w14:paraId="4A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К-8. </w:t>
            </w:r>
            <w:r>
              <w:rPr>
                <w:rFonts w:ascii="Times New Roman" w:hAnsi="Times New Roman"/>
                <w:sz w:val="24"/>
              </w:rPr>
              <w:t>Детям из семе</w:t>
            </w:r>
            <w:r>
              <w:rPr>
                <w:rFonts w:ascii="Times New Roman" w:hAnsi="Times New Roman"/>
                <w:b w:val="0"/>
                <w:sz w:val="24"/>
              </w:rPr>
              <w:t>й – участников СВО</w:t>
            </w:r>
          </w:p>
        </w:tc>
        <w:tc>
          <w:tcPr>
            <w:tcW w:type="dxa" w:w="4673"/>
          </w:tcPr>
          <w:p w14:paraId="4B000000">
            <w:pPr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Документы, подтверждающие мобилизацию одного из родителей (законного представителя): </w:t>
            </w:r>
          </w:p>
          <w:p w14:paraId="4C000000">
            <w:pPr>
              <w:numPr>
                <w:numId w:val="8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Справка о подтверждении прохождения военной службы по частичной мобилизации (добровольно поступивших для участия в СВО), </w:t>
            </w:r>
            <w:r>
              <w:rPr>
                <w:rFonts w:ascii="Times New Roman" w:hAnsi="Times New Roman"/>
                <w:b w:val="1"/>
                <w:sz w:val="24"/>
              </w:rPr>
              <w:t>либо</w:t>
            </w:r>
            <w:r>
              <w:rPr>
                <w:rFonts w:ascii="Times New Roman" w:hAnsi="Times New Roman"/>
                <w:sz w:val="24"/>
              </w:rPr>
              <w:t xml:space="preserve"> копия контракта о прохождении военной службы</w:t>
            </w:r>
          </w:p>
        </w:tc>
      </w:tr>
    </w:tbl>
    <w:p w14:paraId="4D000000">
      <w:pPr>
        <w:ind/>
        <w:jc w:val="both"/>
        <w:rPr>
          <w:rFonts w:ascii="Times New Roman" w:hAnsi="Times New Roman"/>
          <w:sz w:val="28"/>
        </w:rPr>
      </w:pPr>
    </w:p>
    <w:p w14:paraId="4E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Таблица «Расчёт доходов»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8"/>
        <w:gridCol w:w="4678"/>
      </w:tblGrid>
      <w:tr>
        <w:trPr>
          <w:trHeight w:hRule="atLeast" w:val="747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9DDA28" w:val="clear"/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Месяц подачи документов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9DDA28" w:val="clear"/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Период справок о доходах или справки из ЦСЗН об СДД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2025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01.07.2024 по 30.06.2025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2025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01.08.2024 по 31.07.2025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01.09.2024 по 31</w:t>
            </w:r>
            <w:r>
              <w:rPr>
                <w:rFonts w:ascii="Times New Roman" w:hAnsi="Times New Roman"/>
              </w:rPr>
              <w:t>.08.</w:t>
            </w:r>
            <w:r>
              <w:rPr>
                <w:rFonts w:ascii="Times New Roman" w:hAnsi="Times New Roman"/>
              </w:rPr>
              <w:t xml:space="preserve">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2025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01.10.2024 по 30</w:t>
            </w:r>
            <w:r>
              <w:rPr>
                <w:rFonts w:ascii="Times New Roman" w:hAnsi="Times New Roman"/>
              </w:rPr>
              <w:t>.09.</w:t>
            </w:r>
            <w:r>
              <w:rPr>
                <w:rFonts w:ascii="Times New Roman" w:hAnsi="Times New Roman"/>
              </w:rPr>
              <w:t xml:space="preserve">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01.11.2024 по 31</w:t>
            </w:r>
            <w:r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 xml:space="preserve">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2026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01.12. 2024 по 30.11.2025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2026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01.01.2025 по 31.12.2025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01.02.2025 по 31.01.2025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01.03.2025 по 28.02.2025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01.04.2025 по 31.03.2025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2026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01.05.2025 по 30.04.2025 </w:t>
            </w:r>
          </w:p>
        </w:tc>
      </w:tr>
      <w:tr>
        <w:trPr>
          <w:trHeight w:hRule="atLeast" w:val="360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2026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01.06.2025 по 31.05.2025 </w:t>
            </w:r>
          </w:p>
        </w:tc>
      </w:tr>
    </w:tbl>
    <w:p w14:paraId="69000000">
      <w:pPr>
        <w:ind/>
        <w:jc w:val="center"/>
        <w:rPr>
          <w:rFonts w:ascii="Times New Roman" w:hAnsi="Times New Roman"/>
          <w:b w:val="1"/>
          <w:sz w:val="32"/>
        </w:rPr>
      </w:pPr>
    </w:p>
    <w:p w14:paraId="6A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Виды доходов семьи, которые учитываются при расчете СДД</w:t>
      </w:r>
    </w:p>
    <w:p w14:paraId="6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При расчете среднедушевого денежного дохода членов семьи, дающего право на меры социальной поддержки, учитываются следующие виды доходов семьи, полученные в денежной форме:</w:t>
      </w:r>
      <w:r>
        <w:rPr>
          <w:sz w:val="28"/>
        </w:rPr>
        <w:t xml:space="preserve"> </w:t>
      </w:r>
    </w:p>
    <w:p w14:paraId="6C000000">
      <w:pPr>
        <w:numPr>
          <w:numId w:val="9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–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6D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гражданами), дополнительное ежемесячное материальное обеспечение пенсионеров;</w:t>
      </w:r>
    </w:p>
    <w:p w14:paraId="6E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  сумма полученных алиментов;</w:t>
      </w:r>
    </w:p>
    <w:p w14:paraId="6F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70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 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71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дивиденды, проценты и иные доходы, полученные по операциям с ценными бумагами, инвестиционным (брокерским) счетам, металлическим счетам, депозитам и сберегательным счетам, в том числе валютным, а также в связи с участием в управлении собственностью организации;</w:t>
      </w:r>
    </w:p>
    <w:p w14:paraId="72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проценты, полученные по вкладам в кредитных учреждениях; 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практики;</w:t>
      </w:r>
    </w:p>
    <w:p w14:paraId="73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доходы от реализации и сдачи в аренду (наем, поднаем) имущества;  доходы по договорам авторского заказа, об отчуждении исключительного права на результаты интеллектуальной деятельности;</w:t>
      </w:r>
    </w:p>
    <w:p w14:paraId="74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доходы, полученные в рамках применения специального налогового режима "Налог на профессиональный доход";</w:t>
      </w:r>
    </w:p>
    <w:p w14:paraId="75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ежемесячное пожизненное содержание судей, вышедших в отставку;</w:t>
      </w:r>
      <w:r>
        <w:t xml:space="preserve"> </w:t>
      </w:r>
    </w:p>
    <w:p w14:paraId="76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77000000">
      <w:pPr>
        <w:numPr>
          <w:numId w:val="9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доход, полученный заявителем или членами его семьи за пределами Российской Федерации;</w:t>
      </w:r>
    </w:p>
    <w:p w14:paraId="78000000">
      <w:pPr>
        <w:numPr>
          <w:numId w:val="9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другие доходы, </w:t>
      </w:r>
      <w:r>
        <w:rPr>
          <w:rFonts w:ascii="Times New Roman" w:hAnsi="Times New Roman"/>
          <w:b w:val="1"/>
          <w:sz w:val="24"/>
        </w:rPr>
        <w:t>в том числе:</w:t>
      </w:r>
      <w:r>
        <w:rPr>
          <w:rFonts w:ascii="Times New Roman" w:hAnsi="Times New Roman"/>
          <w:sz w:val="24"/>
        </w:rPr>
        <w:t xml:space="preserve"> ежемесячная денежная выплата, предоставляемая семье в соответствии с федеральным законодательством либо законодательством субъектов Российской Федерации.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4" w:type="paragraph">
    <w:name w:val="List Paragraph"/>
    <w:basedOn w:val="Style_1"/>
    <w:link w:val="Style_4_ch"/>
    <w:pPr>
      <w:ind w:firstLine="0" w:left="720"/>
      <w:contextualSpacing w:val="1"/>
    </w:pPr>
  </w:style>
  <w:style w:styleId="Style_4_ch" w:type="character">
    <w:name w:val="List Paragraph"/>
    <w:basedOn w:val="Style_1_ch"/>
    <w:link w:val="Style_4"/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1"/>
    <w:next w:val="Style_1"/>
    <w:link w:val="Style_7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1_ch"/>
    <w:link w:val="Style_7"/>
    <w:rPr>
      <w:color w:themeColor="text1" w:themeTint="A6" w:val="595959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104861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Reference"/>
    <w:basedOn w:val="Style_15"/>
    <w:link w:val="Style_14_ch"/>
    <w:rPr>
      <w:b w:val="1"/>
      <w:smallCaps w:val="1"/>
      <w:color w:themeColor="accent1" w:themeShade="BF" w:val="104861"/>
      <w:spacing w:val="5"/>
    </w:rPr>
  </w:style>
  <w:style w:styleId="Style_14_ch" w:type="character">
    <w:name w:val="Intense Reference"/>
    <w:basedOn w:val="Style_15_ch"/>
    <w:link w:val="Style_14"/>
    <w:rPr>
      <w:b w:val="1"/>
      <w:smallCaps w:val="1"/>
      <w:color w:themeColor="accent1" w:themeShade="BF" w:val="104861"/>
      <w:spacing w:val="5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Quote"/>
    <w:basedOn w:val="Style_1"/>
    <w:next w:val="Style_1"/>
    <w:link w:val="Style_16_ch"/>
    <w:pPr>
      <w:spacing w:before="160"/>
      <w:ind/>
      <w:jc w:val="center"/>
    </w:pPr>
    <w:rPr>
      <w:i w:val="1"/>
      <w:color w:themeColor="text1" w:themeTint="BF" w:val="404040"/>
    </w:rPr>
  </w:style>
  <w:style w:styleId="Style_16_ch" w:type="character">
    <w:name w:val="Quote"/>
    <w:basedOn w:val="Style_1_ch"/>
    <w:link w:val="Style_16"/>
    <w:rPr>
      <w:i w:val="1"/>
      <w:color w:themeColor="text1" w:themeTint="BF" w:val="404040"/>
    </w:rPr>
  </w:style>
  <w:style w:styleId="Style_17" w:type="paragraph">
    <w:name w:val="heading 5"/>
    <w:basedOn w:val="Style_1"/>
    <w:next w:val="Style_1"/>
    <w:link w:val="Style_17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104861"/>
    </w:rPr>
  </w:style>
  <w:style w:styleId="Style_17_ch" w:type="character">
    <w:name w:val="heading 5"/>
    <w:basedOn w:val="Style_1_ch"/>
    <w:link w:val="Style_17"/>
    <w:rPr>
      <w:color w:themeColor="accent1" w:themeShade="BF" w:val="104861"/>
    </w:rPr>
  </w:style>
  <w:style w:styleId="Style_18" w:type="paragraph">
    <w:name w:val="heading 1"/>
    <w:basedOn w:val="Style_1"/>
    <w:next w:val="Style_1"/>
    <w:link w:val="Style_18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8_ch" w:type="character">
    <w:name w:val="heading 1"/>
    <w:basedOn w:val="Style_1_ch"/>
    <w:link w:val="Style_18"/>
    <w:rPr>
      <w:rFonts w:asciiTheme="majorAscii" w:hAnsiTheme="majorHAnsi"/>
      <w:color w:themeColor="accent1" w:themeShade="BF" w:val="104861"/>
      <w:sz w:val="40"/>
    </w:rPr>
  </w:style>
  <w:style w:styleId="Style_19" w:type="paragraph">
    <w:name w:val="Intense Emphasis"/>
    <w:basedOn w:val="Style_15"/>
    <w:link w:val="Style_19_ch"/>
    <w:rPr>
      <w:i w:val="1"/>
      <w:color w:themeColor="accent1" w:themeShade="BF" w:val="104861"/>
    </w:rPr>
  </w:style>
  <w:style w:styleId="Style_19_ch" w:type="character">
    <w:name w:val="Intense Emphasis"/>
    <w:basedOn w:val="Style_15_ch"/>
    <w:link w:val="Style_19"/>
    <w:rPr>
      <w:i w:val="1"/>
      <w:color w:themeColor="accent1" w:themeShade="BF" w:val="104861"/>
    </w:rPr>
  </w:style>
  <w:style w:styleId="Style_2" w:type="paragraph">
    <w:name w:val="Hyperlink"/>
    <w:basedOn w:val="Style_15"/>
    <w:link w:val="Style_2_ch"/>
    <w:rPr>
      <w:color w:themeColor="hyperlink" w:val="467886"/>
      <w:u w:val="single"/>
    </w:rPr>
  </w:style>
  <w:style w:styleId="Style_2_ch" w:type="character">
    <w:name w:val="Hyperlink"/>
    <w:basedOn w:val="Style_15_ch"/>
    <w:link w:val="Style_2"/>
    <w:rPr>
      <w:color w:themeColor="hyperlink" w:val="467886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1"/>
    <w:next w:val="Style_1"/>
    <w:link w:val="Style_21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1_ch"/>
    <w:link w:val="Style_21"/>
    <w:rPr>
      <w:i w:val="1"/>
      <w:color w:themeColor="text1" w:themeTint="D8" w:val="272727"/>
    </w:rPr>
  </w:style>
  <w:style w:styleId="Style_22" w:type="paragraph">
    <w:name w:val="toc 1"/>
    <w:next w:val="Style_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Placeholder Text"/>
    <w:basedOn w:val="Style_15"/>
    <w:link w:val="Style_24_ch"/>
    <w:rPr>
      <w:color w:val="666666"/>
    </w:rPr>
  </w:style>
  <w:style w:styleId="Style_24_ch" w:type="character">
    <w:name w:val="Placeholder Text"/>
    <w:basedOn w:val="Style_15_ch"/>
    <w:link w:val="Style_24"/>
    <w:rPr>
      <w:color w:val="666666"/>
    </w:rPr>
  </w:style>
  <w:style w:styleId="Style_25" w:type="paragraph">
    <w:name w:val="toc 9"/>
    <w:next w:val="Style_1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Intense Quote"/>
    <w:basedOn w:val="Style_1"/>
    <w:next w:val="Style_1"/>
    <w:link w:val="Style_26_ch"/>
    <w:pPr>
      <w:spacing w:after="360" w:before="360"/>
      <w:ind w:firstLine="0" w:left="864" w:right="864"/>
      <w:jc w:val="center"/>
    </w:pPr>
    <w:rPr>
      <w:i w:val="1"/>
      <w:color w:themeColor="accent1" w:themeShade="BF" w:val="104861"/>
    </w:rPr>
  </w:style>
  <w:style w:styleId="Style_26_ch" w:type="character">
    <w:name w:val="Intense Quote"/>
    <w:basedOn w:val="Style_1_ch"/>
    <w:link w:val="Style_26"/>
    <w:rPr>
      <w:i w:val="1"/>
      <w:color w:themeColor="accent1" w:themeShade="BF" w:val="104861"/>
    </w:rPr>
  </w:style>
  <w:style w:styleId="Style_27" w:type="paragraph">
    <w:name w:val="toc 8"/>
    <w:next w:val="Style_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basedOn w:val="Style_1"/>
    <w:next w:val="Style_1"/>
    <w:link w:val="Style_29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9_ch" w:type="character">
    <w:name w:val="Subtitle"/>
    <w:basedOn w:val="Style_1_ch"/>
    <w:link w:val="Style_29"/>
    <w:rPr>
      <w:color w:themeColor="text1" w:themeTint="A6" w:val="595959"/>
      <w:spacing w:val="15"/>
      <w:sz w:val="28"/>
    </w:rPr>
  </w:style>
  <w:style w:styleId="Style_30" w:type="paragraph">
    <w:name w:val="Title"/>
    <w:basedOn w:val="Style_1"/>
    <w:next w:val="Style_1"/>
    <w:link w:val="Style_30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0_ch" w:type="character">
    <w:name w:val="Title"/>
    <w:basedOn w:val="Style_1_ch"/>
    <w:link w:val="Style_30"/>
    <w:rPr>
      <w:rFonts w:asciiTheme="majorAscii" w:hAnsiTheme="majorHAnsi"/>
      <w:spacing w:val="-10"/>
      <w:sz w:val="56"/>
    </w:rPr>
  </w:style>
  <w:style w:styleId="Style_31" w:type="paragraph">
    <w:name w:val="heading 4"/>
    <w:basedOn w:val="Style_1"/>
    <w:next w:val="Style_1"/>
    <w:link w:val="Style_31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1_ch" w:type="character">
    <w:name w:val="heading 4"/>
    <w:basedOn w:val="Style_1_ch"/>
    <w:link w:val="Style_31"/>
    <w:rPr>
      <w:i w:val="1"/>
      <w:color w:themeColor="accent1" w:themeShade="BF" w:val="104861"/>
    </w:rPr>
  </w:style>
  <w:style w:styleId="Style_32" w:type="paragraph">
    <w:name w:val="heading 2"/>
    <w:basedOn w:val="Style_1"/>
    <w:next w:val="Style_1"/>
    <w:link w:val="Style_32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2_ch" w:type="character">
    <w:name w:val="heading 2"/>
    <w:basedOn w:val="Style_1_ch"/>
    <w:link w:val="Style_32"/>
    <w:rPr>
      <w:rFonts w:asciiTheme="majorAscii" w:hAnsiTheme="majorHAnsi"/>
      <w:color w:themeColor="accent1" w:themeShade="BF" w:val="104861"/>
      <w:sz w:val="32"/>
    </w:rPr>
  </w:style>
  <w:style w:styleId="Style_33" w:type="paragraph">
    <w:name w:val="Unresolved Mention"/>
    <w:basedOn w:val="Style_15"/>
    <w:link w:val="Style_33_ch"/>
    <w:rPr>
      <w:color w:val="605E5C"/>
      <w:shd w:fill="E1DFDD" w:val="clear"/>
    </w:rPr>
  </w:style>
  <w:style w:styleId="Style_33_ch" w:type="character">
    <w:name w:val="Unresolved Mention"/>
    <w:basedOn w:val="Style_15_ch"/>
    <w:link w:val="Style_33"/>
    <w:rPr>
      <w:color w:val="605E5C"/>
      <w:shd w:fill="E1DFDD" w:val="clear"/>
    </w:rPr>
  </w:style>
  <w:style w:styleId="Style_34" w:type="paragraph">
    <w:name w:val="heading 6"/>
    <w:basedOn w:val="Style_1"/>
    <w:next w:val="Style_1"/>
    <w:link w:val="Style_34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4_ch" w:type="character">
    <w:name w:val="heading 6"/>
    <w:basedOn w:val="Style_1_ch"/>
    <w:link w:val="Style_34"/>
    <w:rPr>
      <w:i w:val="1"/>
      <w:color w:themeColor="text1" w:themeTint="A6" w:val="595959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2025-08-22T08:10:47Z</dcterms:modified>
</cp:coreProperties>
</file>