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80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r w:rsidR="00ED6180">
        <w:rPr>
          <w:sz w:val="28"/>
          <w:szCs w:val="28"/>
        </w:rPr>
        <w:t>земельных</w:t>
      </w:r>
    </w:p>
    <w:p w:rsidR="00ED6180" w:rsidRDefault="00ED6180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и имущественных отношений 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образования Тимашевский район</w:t>
      </w:r>
    </w:p>
    <w:p w:rsidR="00103DFC" w:rsidRDefault="00103DFC" w:rsidP="00103DFC">
      <w:pPr>
        <w:ind w:left="4320" w:right="94" w:firstLine="720"/>
        <w:rPr>
          <w:sz w:val="28"/>
          <w:szCs w:val="28"/>
        </w:rPr>
      </w:pPr>
    </w:p>
    <w:p w:rsidR="00103DFC" w:rsidRDefault="0079477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Комиссарову А.А.</w:t>
      </w:r>
    </w:p>
    <w:p w:rsidR="00103DFC" w:rsidRDefault="00103DFC" w:rsidP="00103DFC">
      <w:pPr>
        <w:ind w:right="94"/>
        <w:jc w:val="center"/>
        <w:rPr>
          <w:b/>
          <w:sz w:val="28"/>
          <w:szCs w:val="28"/>
        </w:rPr>
      </w:pPr>
    </w:p>
    <w:p w:rsidR="00103DFC" w:rsidRDefault="00103DFC" w:rsidP="000245AC">
      <w:pPr>
        <w:ind w:right="94"/>
        <w:jc w:val="center"/>
        <w:rPr>
          <w:sz w:val="28"/>
          <w:szCs w:val="28"/>
        </w:rPr>
      </w:pPr>
    </w:p>
    <w:p w:rsidR="00CA0C3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741A5B" w:rsidRDefault="00FE0CAC" w:rsidP="000245AC">
      <w:pPr>
        <w:ind w:right="94"/>
        <w:jc w:val="center"/>
        <w:rPr>
          <w:sz w:val="28"/>
          <w:szCs w:val="28"/>
        </w:rPr>
      </w:pPr>
      <w:r w:rsidRPr="00741A5B">
        <w:rPr>
          <w:sz w:val="28"/>
          <w:szCs w:val="28"/>
        </w:rPr>
        <w:t>Заключение</w:t>
      </w:r>
      <w:r w:rsidR="00CB0376" w:rsidRPr="00741A5B">
        <w:rPr>
          <w:sz w:val="28"/>
          <w:szCs w:val="28"/>
        </w:rPr>
        <w:t xml:space="preserve"> № </w:t>
      </w:r>
      <w:r w:rsidR="008A1082" w:rsidRPr="00741A5B">
        <w:rPr>
          <w:sz w:val="28"/>
          <w:szCs w:val="28"/>
        </w:rPr>
        <w:t>1</w:t>
      </w:r>
      <w:r w:rsidR="001E1715">
        <w:rPr>
          <w:sz w:val="28"/>
          <w:szCs w:val="28"/>
        </w:rPr>
        <w:t>4</w:t>
      </w:r>
      <w:r w:rsidR="008A1082" w:rsidRPr="00741A5B">
        <w:rPr>
          <w:sz w:val="28"/>
          <w:szCs w:val="28"/>
        </w:rPr>
        <w:t>/</w:t>
      </w:r>
      <w:r w:rsidR="00CC6B15">
        <w:rPr>
          <w:sz w:val="28"/>
          <w:szCs w:val="28"/>
        </w:rPr>
        <w:t>133</w:t>
      </w:r>
      <w:bookmarkStart w:id="0" w:name="_GoBack"/>
      <w:bookmarkEnd w:id="0"/>
      <w:r w:rsidR="00E5153F" w:rsidRPr="00741A5B">
        <w:rPr>
          <w:sz w:val="28"/>
          <w:szCs w:val="28"/>
        </w:rPr>
        <w:t xml:space="preserve"> </w:t>
      </w:r>
      <w:r w:rsidR="00CB0376" w:rsidRPr="00741A5B">
        <w:rPr>
          <w:sz w:val="28"/>
          <w:szCs w:val="28"/>
        </w:rPr>
        <w:t xml:space="preserve">от </w:t>
      </w:r>
      <w:r w:rsidR="008A1082" w:rsidRPr="00741A5B">
        <w:rPr>
          <w:sz w:val="28"/>
          <w:szCs w:val="28"/>
        </w:rPr>
        <w:t xml:space="preserve">9 июня </w:t>
      </w:r>
      <w:r w:rsidR="00CB0376" w:rsidRPr="00741A5B">
        <w:rPr>
          <w:sz w:val="28"/>
          <w:szCs w:val="28"/>
        </w:rPr>
        <w:t>20</w:t>
      </w:r>
      <w:r w:rsidR="002D1D94" w:rsidRPr="00741A5B">
        <w:rPr>
          <w:sz w:val="28"/>
          <w:szCs w:val="28"/>
        </w:rPr>
        <w:t xml:space="preserve">21 </w:t>
      </w:r>
      <w:r w:rsidR="00CB0376" w:rsidRPr="00741A5B">
        <w:rPr>
          <w:sz w:val="28"/>
          <w:szCs w:val="28"/>
        </w:rPr>
        <w:t>г</w:t>
      </w:r>
      <w:r w:rsidR="00211889" w:rsidRPr="00741A5B">
        <w:rPr>
          <w:sz w:val="28"/>
          <w:szCs w:val="28"/>
        </w:rPr>
        <w:t>.</w:t>
      </w:r>
    </w:p>
    <w:p w:rsidR="00B86BB1" w:rsidRPr="00741A5B" w:rsidRDefault="009158FA" w:rsidP="00B86BB1">
      <w:pPr>
        <w:jc w:val="center"/>
        <w:rPr>
          <w:sz w:val="28"/>
          <w:szCs w:val="28"/>
        </w:rPr>
      </w:pPr>
      <w:r w:rsidRPr="00741A5B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741A5B">
        <w:rPr>
          <w:sz w:val="28"/>
          <w:szCs w:val="28"/>
        </w:rPr>
        <w:t xml:space="preserve">проекта постановления </w:t>
      </w:r>
    </w:p>
    <w:p w:rsidR="00B86BB1" w:rsidRPr="00741A5B" w:rsidRDefault="00B86BB1" w:rsidP="00B86BB1">
      <w:pPr>
        <w:jc w:val="center"/>
        <w:rPr>
          <w:sz w:val="28"/>
          <w:szCs w:val="28"/>
        </w:rPr>
      </w:pPr>
      <w:r w:rsidRPr="00741A5B">
        <w:rPr>
          <w:sz w:val="28"/>
          <w:szCs w:val="28"/>
        </w:rPr>
        <w:t xml:space="preserve">администрации муниципального образования Тимашевский район </w:t>
      </w:r>
    </w:p>
    <w:p w:rsidR="00FD6BF1" w:rsidRDefault="00FD6BF1" w:rsidP="00B82E15">
      <w:pPr>
        <w:jc w:val="center"/>
        <w:outlineLvl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«Об утверждении а</w:t>
      </w:r>
      <w:r>
        <w:rPr>
          <w:sz w:val="28"/>
          <w:szCs w:val="28"/>
        </w:rPr>
        <w:t xml:space="preserve">дминистративного регламента предоставления </w:t>
      </w:r>
    </w:p>
    <w:p w:rsidR="00FD6BF1" w:rsidRDefault="00FD6BF1" w:rsidP="00B82E1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Предоставление земельных участков, находящихся </w:t>
      </w:r>
    </w:p>
    <w:p w:rsidR="00FD6BF1" w:rsidRDefault="00FD6BF1" w:rsidP="00B82E1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государственной или муниципальной собственности, гражданам</w:t>
      </w:r>
    </w:p>
    <w:p w:rsidR="00FD6BF1" w:rsidRDefault="00FD6BF1" w:rsidP="00B82E1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для индивидуального жилищного строительства, ведения личного подсобного хозяйства в границах населенного пункта, садоводства, гражданам </w:t>
      </w:r>
    </w:p>
    <w:p w:rsidR="00FD6BF1" w:rsidRDefault="00FD6BF1" w:rsidP="00B82E1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 крестьянским (фермерским) хозяйствам для осуществления</w:t>
      </w:r>
    </w:p>
    <w:p w:rsidR="00F363CA" w:rsidRDefault="00FD6BF1" w:rsidP="00B82E15">
      <w:pPr>
        <w:jc w:val="center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крестьянским (фермерским) хозяйством его деятельности</w:t>
      </w:r>
      <w:r>
        <w:rPr>
          <w:color w:val="000000"/>
          <w:sz w:val="28"/>
          <w:szCs w:val="28"/>
        </w:rPr>
        <w:t>»</w:t>
      </w:r>
    </w:p>
    <w:p w:rsidR="00FD6BF1" w:rsidRPr="001E1715" w:rsidRDefault="00FD6BF1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38730A" w:rsidRDefault="00991D2E" w:rsidP="00C41724">
      <w:pPr>
        <w:jc w:val="both"/>
        <w:outlineLvl w:val="0"/>
        <w:rPr>
          <w:sz w:val="28"/>
          <w:szCs w:val="28"/>
        </w:rPr>
      </w:pPr>
      <w:r w:rsidRPr="0038730A">
        <w:rPr>
          <w:sz w:val="28"/>
          <w:szCs w:val="28"/>
        </w:rPr>
        <w:t xml:space="preserve">      </w:t>
      </w:r>
      <w:r w:rsidR="00013D65" w:rsidRPr="0038730A">
        <w:rPr>
          <w:sz w:val="28"/>
          <w:szCs w:val="28"/>
        </w:rPr>
        <w:t xml:space="preserve"> </w:t>
      </w:r>
      <w:r w:rsidRPr="0038730A">
        <w:rPr>
          <w:sz w:val="28"/>
          <w:szCs w:val="28"/>
        </w:rPr>
        <w:t xml:space="preserve"> </w:t>
      </w:r>
      <w:r w:rsidR="000600C7" w:rsidRPr="0038730A">
        <w:rPr>
          <w:sz w:val="28"/>
          <w:szCs w:val="28"/>
        </w:rPr>
        <w:t xml:space="preserve"> </w:t>
      </w:r>
      <w:r w:rsidR="003E2D1D" w:rsidRPr="0038730A">
        <w:rPr>
          <w:sz w:val="28"/>
          <w:szCs w:val="28"/>
        </w:rPr>
        <w:t>О</w:t>
      </w:r>
      <w:r w:rsidR="00DA5835" w:rsidRPr="0038730A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38730A">
        <w:rPr>
          <w:sz w:val="28"/>
          <w:szCs w:val="28"/>
        </w:rPr>
        <w:t>,</w:t>
      </w:r>
      <w:r w:rsidR="00DA5835" w:rsidRPr="0038730A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38730A">
        <w:rPr>
          <w:sz w:val="28"/>
          <w:szCs w:val="28"/>
        </w:rPr>
        <w:t xml:space="preserve"> муниципального образования Тимашевский район</w:t>
      </w:r>
      <w:r w:rsidR="00DA5835" w:rsidRPr="0038730A">
        <w:rPr>
          <w:sz w:val="28"/>
          <w:szCs w:val="28"/>
        </w:rPr>
        <w:t xml:space="preserve">, </w:t>
      </w:r>
      <w:r w:rsidR="004B36B6" w:rsidRPr="0038730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95329" w:rsidRPr="0038730A">
        <w:rPr>
          <w:sz w:val="28"/>
          <w:szCs w:val="28"/>
        </w:rPr>
        <w:t>,</w:t>
      </w:r>
      <w:r w:rsidR="00DA5835" w:rsidRPr="0038730A">
        <w:rPr>
          <w:sz w:val="28"/>
          <w:szCs w:val="28"/>
        </w:rPr>
        <w:t xml:space="preserve"> </w:t>
      </w:r>
      <w:r w:rsidR="00653AEF" w:rsidRPr="0038730A">
        <w:rPr>
          <w:sz w:val="28"/>
          <w:szCs w:val="28"/>
        </w:rPr>
        <w:t>(далее – Уполномоченный орган)</w:t>
      </w:r>
      <w:r w:rsidR="00710892" w:rsidRPr="0038730A">
        <w:rPr>
          <w:sz w:val="28"/>
          <w:szCs w:val="28"/>
        </w:rPr>
        <w:t>,</w:t>
      </w:r>
      <w:r w:rsidR="00653AEF" w:rsidRPr="0038730A">
        <w:rPr>
          <w:sz w:val="28"/>
          <w:szCs w:val="28"/>
        </w:rPr>
        <w:t xml:space="preserve"> рассмотрел </w:t>
      </w:r>
      <w:r w:rsidR="00516B94" w:rsidRPr="0038730A">
        <w:rPr>
          <w:sz w:val="28"/>
          <w:szCs w:val="28"/>
        </w:rPr>
        <w:t xml:space="preserve">поступивший </w:t>
      </w:r>
      <w:r w:rsidR="00056B24" w:rsidRPr="0038730A">
        <w:rPr>
          <w:sz w:val="28"/>
          <w:szCs w:val="28"/>
        </w:rPr>
        <w:t xml:space="preserve">20 мая </w:t>
      </w:r>
      <w:r w:rsidR="004377A7" w:rsidRPr="0038730A">
        <w:rPr>
          <w:sz w:val="28"/>
          <w:szCs w:val="28"/>
        </w:rPr>
        <w:t>2</w:t>
      </w:r>
      <w:r w:rsidR="00516B94" w:rsidRPr="0038730A">
        <w:rPr>
          <w:sz w:val="28"/>
          <w:szCs w:val="28"/>
        </w:rPr>
        <w:t>0</w:t>
      </w:r>
      <w:r w:rsidR="002D1D94" w:rsidRPr="0038730A">
        <w:rPr>
          <w:sz w:val="28"/>
          <w:szCs w:val="28"/>
        </w:rPr>
        <w:t>21</w:t>
      </w:r>
      <w:r w:rsidR="00516B94" w:rsidRPr="0038730A">
        <w:rPr>
          <w:sz w:val="28"/>
          <w:szCs w:val="28"/>
        </w:rPr>
        <w:t xml:space="preserve"> г</w:t>
      </w:r>
      <w:r w:rsidR="007B2D20" w:rsidRPr="0038730A">
        <w:rPr>
          <w:sz w:val="28"/>
          <w:szCs w:val="28"/>
        </w:rPr>
        <w:t>.</w:t>
      </w:r>
      <w:r w:rsidR="00516B94" w:rsidRPr="0038730A">
        <w:rPr>
          <w:sz w:val="28"/>
          <w:szCs w:val="28"/>
        </w:rPr>
        <w:t xml:space="preserve"> </w:t>
      </w:r>
      <w:r w:rsidR="00D93377" w:rsidRPr="0038730A">
        <w:rPr>
          <w:sz w:val="28"/>
          <w:szCs w:val="28"/>
        </w:rPr>
        <w:t xml:space="preserve">проект </w:t>
      </w:r>
      <w:r w:rsidR="00B86BB1" w:rsidRPr="0038730A">
        <w:rPr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38730A" w:rsidRPr="0038730A">
        <w:rPr>
          <w:bCs/>
          <w:color w:val="000000"/>
          <w:sz w:val="28"/>
          <w:szCs w:val="28"/>
        </w:rPr>
        <w:t>«Об утверждении а</w:t>
      </w:r>
      <w:r w:rsidR="0038730A" w:rsidRPr="0038730A">
        <w:rPr>
          <w:sz w:val="28"/>
          <w:szCs w:val="28"/>
        </w:rPr>
        <w:t xml:space="preserve">дминистративного регламента предоставления муниципальной услуги </w:t>
      </w:r>
      <w:r w:rsidR="0038730A" w:rsidRPr="0038730A">
        <w:rPr>
          <w:color w:val="000000"/>
          <w:sz w:val="28"/>
          <w:szCs w:val="28"/>
        </w:rPr>
        <w:t>«</w:t>
      </w:r>
      <w:r w:rsidR="0038730A" w:rsidRPr="0038730A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38730A" w:rsidRPr="0038730A">
        <w:rPr>
          <w:color w:val="000000"/>
          <w:sz w:val="28"/>
          <w:szCs w:val="28"/>
        </w:rPr>
        <w:t>»</w:t>
      </w:r>
      <w:r w:rsidR="0038730A" w:rsidRPr="0038730A">
        <w:rPr>
          <w:bCs/>
          <w:color w:val="000000"/>
          <w:sz w:val="28"/>
          <w:szCs w:val="28"/>
        </w:rPr>
        <w:t xml:space="preserve"> </w:t>
      </w:r>
      <w:r w:rsidR="00653AEF" w:rsidRPr="0038730A">
        <w:rPr>
          <w:sz w:val="28"/>
          <w:szCs w:val="28"/>
        </w:rPr>
        <w:t xml:space="preserve">(далее – </w:t>
      </w:r>
      <w:r w:rsidR="00710892" w:rsidRPr="0038730A">
        <w:rPr>
          <w:sz w:val="28"/>
          <w:szCs w:val="28"/>
        </w:rPr>
        <w:t>П</w:t>
      </w:r>
      <w:r w:rsidR="00516B94" w:rsidRPr="0038730A">
        <w:rPr>
          <w:sz w:val="28"/>
          <w:szCs w:val="28"/>
        </w:rPr>
        <w:t>роект</w:t>
      </w:r>
      <w:r w:rsidR="00653AEF" w:rsidRPr="0038730A">
        <w:rPr>
          <w:sz w:val="28"/>
          <w:szCs w:val="28"/>
        </w:rPr>
        <w:t>)</w:t>
      </w:r>
      <w:r w:rsidR="00710892" w:rsidRPr="0038730A">
        <w:rPr>
          <w:sz w:val="28"/>
          <w:szCs w:val="28"/>
        </w:rPr>
        <w:t>, направленный от</w:t>
      </w:r>
      <w:r w:rsidR="007C2540" w:rsidRPr="0038730A">
        <w:rPr>
          <w:sz w:val="28"/>
          <w:szCs w:val="28"/>
        </w:rPr>
        <w:t>делом</w:t>
      </w:r>
      <w:r w:rsidR="00AC3440" w:rsidRPr="0038730A">
        <w:rPr>
          <w:sz w:val="28"/>
          <w:szCs w:val="28"/>
        </w:rPr>
        <w:t xml:space="preserve"> </w:t>
      </w:r>
      <w:r w:rsidR="00182E3B" w:rsidRPr="0038730A">
        <w:rPr>
          <w:sz w:val="28"/>
          <w:szCs w:val="28"/>
        </w:rPr>
        <w:t xml:space="preserve">земельных и имущественных отношений </w:t>
      </w:r>
      <w:r w:rsidR="00710892" w:rsidRPr="0038730A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38730A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38730A">
        <w:rPr>
          <w:sz w:val="28"/>
          <w:szCs w:val="28"/>
        </w:rPr>
        <w:t>.</w:t>
      </w:r>
    </w:p>
    <w:p w:rsidR="0059550A" w:rsidRPr="0038730A" w:rsidRDefault="00653AEF" w:rsidP="00653AEF">
      <w:pPr>
        <w:ind w:firstLine="708"/>
        <w:jc w:val="both"/>
        <w:rPr>
          <w:sz w:val="28"/>
          <w:szCs w:val="28"/>
        </w:rPr>
      </w:pPr>
      <w:r w:rsidRPr="0038730A">
        <w:rPr>
          <w:sz w:val="28"/>
          <w:szCs w:val="28"/>
        </w:rPr>
        <w:t xml:space="preserve">В соответствии с </w:t>
      </w:r>
      <w:r w:rsidR="009709A8" w:rsidRPr="0038730A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9709A8" w:rsidRPr="0038730A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9709A8" w:rsidRPr="0038730A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38730A">
        <w:rPr>
          <w:sz w:val="28"/>
          <w:szCs w:val="28"/>
        </w:rPr>
        <w:t>(далее</w:t>
      </w:r>
      <w:r w:rsidR="002768B4" w:rsidRPr="0038730A">
        <w:rPr>
          <w:sz w:val="28"/>
          <w:szCs w:val="28"/>
        </w:rPr>
        <w:t xml:space="preserve"> – Порядок)</w:t>
      </w:r>
      <w:r w:rsidR="00242F28" w:rsidRPr="0038730A">
        <w:rPr>
          <w:sz w:val="28"/>
          <w:szCs w:val="28"/>
        </w:rPr>
        <w:t xml:space="preserve"> проект </w:t>
      </w:r>
      <w:r w:rsidR="002768B4" w:rsidRPr="0038730A">
        <w:rPr>
          <w:sz w:val="28"/>
          <w:szCs w:val="28"/>
        </w:rPr>
        <w:lastRenderedPageBreak/>
        <w:t>подлежит проведению оценк</w:t>
      </w:r>
      <w:r w:rsidR="00813A4F" w:rsidRPr="0038730A">
        <w:rPr>
          <w:sz w:val="28"/>
          <w:szCs w:val="28"/>
        </w:rPr>
        <w:t>и</w:t>
      </w:r>
      <w:r w:rsidR="002768B4" w:rsidRPr="0038730A">
        <w:rPr>
          <w:sz w:val="28"/>
          <w:szCs w:val="28"/>
        </w:rPr>
        <w:t xml:space="preserve"> регулирующего воздейс</w:t>
      </w:r>
      <w:r w:rsidR="00813A4F" w:rsidRPr="0038730A">
        <w:rPr>
          <w:sz w:val="28"/>
          <w:szCs w:val="28"/>
        </w:rPr>
        <w:t>т</w:t>
      </w:r>
      <w:r w:rsidR="002768B4" w:rsidRPr="0038730A">
        <w:rPr>
          <w:sz w:val="28"/>
          <w:szCs w:val="28"/>
        </w:rPr>
        <w:t>вия.</w:t>
      </w:r>
    </w:p>
    <w:p w:rsidR="003D77B4" w:rsidRPr="0038730A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38730A">
        <w:rPr>
          <w:sz w:val="28"/>
          <w:szCs w:val="28"/>
        </w:rPr>
        <w:t xml:space="preserve">Проект содержит положения, имеющие </w:t>
      </w:r>
      <w:r w:rsidR="007A7718" w:rsidRPr="0038730A">
        <w:rPr>
          <w:sz w:val="28"/>
          <w:szCs w:val="28"/>
        </w:rPr>
        <w:t xml:space="preserve">высокую </w:t>
      </w:r>
      <w:r w:rsidRPr="0038730A">
        <w:rPr>
          <w:sz w:val="28"/>
          <w:szCs w:val="28"/>
        </w:rPr>
        <w:t>степень регулирующего воздействия</w:t>
      </w:r>
      <w:r w:rsidR="005D6545" w:rsidRPr="0038730A">
        <w:rPr>
          <w:sz w:val="28"/>
          <w:szCs w:val="28"/>
        </w:rPr>
        <w:t>.</w:t>
      </w:r>
    </w:p>
    <w:p w:rsidR="00242F28" w:rsidRPr="0038730A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38730A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38730A">
        <w:rPr>
          <w:rFonts w:eastAsiaTheme="minorEastAsia"/>
          <w:sz w:val="28"/>
          <w:szCs w:val="28"/>
        </w:rPr>
        <w:t>П</w:t>
      </w:r>
      <w:r w:rsidRPr="0038730A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38730A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38730A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38730A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38730A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38730A">
        <w:rPr>
          <w:rFonts w:eastAsiaTheme="minorEastAsia"/>
          <w:sz w:val="28"/>
          <w:szCs w:val="28"/>
        </w:rPr>
        <w:t xml:space="preserve"> </w:t>
      </w:r>
      <w:r w:rsidRPr="0038730A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38730A">
        <w:rPr>
          <w:rFonts w:eastAsiaTheme="minorEastAsia"/>
          <w:sz w:val="28"/>
          <w:szCs w:val="28"/>
        </w:rPr>
        <w:t xml:space="preserve">регулирующим органом </w:t>
      </w:r>
      <w:r w:rsidRPr="0038730A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C95A0C" w:rsidRPr="0038730A" w:rsidRDefault="007A34F2" w:rsidP="00C95A0C">
      <w:pPr>
        <w:jc w:val="both"/>
        <w:outlineLvl w:val="0"/>
        <w:rPr>
          <w:sz w:val="28"/>
          <w:szCs w:val="28"/>
          <w:lang w:bidi="en-US"/>
        </w:rPr>
      </w:pPr>
      <w:r w:rsidRPr="0038730A">
        <w:rPr>
          <w:sz w:val="28"/>
          <w:szCs w:val="28"/>
        </w:rPr>
        <w:t xml:space="preserve">        </w:t>
      </w:r>
      <w:r w:rsidR="00B34005" w:rsidRPr="0038730A">
        <w:rPr>
          <w:sz w:val="28"/>
          <w:szCs w:val="28"/>
        </w:rPr>
        <w:t>Р</w:t>
      </w:r>
      <w:r w:rsidR="00722999" w:rsidRPr="0038730A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38730A">
        <w:rPr>
          <w:sz w:val="28"/>
          <w:szCs w:val="28"/>
        </w:rPr>
        <w:t xml:space="preserve"> принятие постановления администрации муниципального образования Тимашевский район </w:t>
      </w:r>
      <w:r w:rsidR="0038730A" w:rsidRPr="0038730A">
        <w:rPr>
          <w:bCs/>
          <w:color w:val="000000"/>
          <w:sz w:val="28"/>
          <w:szCs w:val="28"/>
        </w:rPr>
        <w:t>«Об утверждении а</w:t>
      </w:r>
      <w:r w:rsidR="0038730A" w:rsidRPr="0038730A">
        <w:rPr>
          <w:sz w:val="28"/>
          <w:szCs w:val="28"/>
        </w:rPr>
        <w:t xml:space="preserve">дминистративного регламента предоставления муниципальной услуги </w:t>
      </w:r>
      <w:r w:rsidR="0038730A" w:rsidRPr="0038730A">
        <w:rPr>
          <w:color w:val="000000"/>
          <w:sz w:val="28"/>
          <w:szCs w:val="28"/>
        </w:rPr>
        <w:t>«</w:t>
      </w:r>
      <w:r w:rsidR="0038730A" w:rsidRPr="0038730A">
        <w:rPr>
          <w:sz w:val="28"/>
          <w:szCs w:val="28"/>
        </w:rPr>
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38730A" w:rsidRPr="0038730A">
        <w:rPr>
          <w:color w:val="000000"/>
          <w:sz w:val="28"/>
          <w:szCs w:val="28"/>
        </w:rPr>
        <w:t>»</w:t>
      </w:r>
      <w:r w:rsidR="00741A5B" w:rsidRPr="0038730A">
        <w:rPr>
          <w:sz w:val="28"/>
          <w:szCs w:val="28"/>
        </w:rPr>
        <w:t>.</w:t>
      </w:r>
      <w:r w:rsidR="00741A5B" w:rsidRPr="0038730A">
        <w:rPr>
          <w:color w:val="000000"/>
          <w:sz w:val="28"/>
          <w:szCs w:val="28"/>
        </w:rPr>
        <w:t xml:space="preserve"> </w:t>
      </w:r>
    </w:p>
    <w:p w:rsidR="00BD6D89" w:rsidRPr="0038730A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30A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38730A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30A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38730A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38730A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38730A">
        <w:rPr>
          <w:rFonts w:ascii="Times New Roman" w:hAnsi="Times New Roman" w:cs="Times New Roman"/>
          <w:sz w:val="28"/>
          <w:szCs w:val="28"/>
        </w:rPr>
        <w:t>ой</w:t>
      </w:r>
      <w:r w:rsidR="005A6E6C" w:rsidRPr="0038730A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38730A">
        <w:rPr>
          <w:rFonts w:ascii="Times New Roman" w:hAnsi="Times New Roman" w:cs="Times New Roman"/>
          <w:sz w:val="28"/>
          <w:szCs w:val="28"/>
        </w:rPr>
        <w:t>и</w:t>
      </w:r>
      <w:r w:rsidR="005A6E6C" w:rsidRPr="0038730A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38730A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387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38730A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38730A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38730A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38730A">
        <w:rPr>
          <w:rFonts w:eastAsiaTheme="minorEastAsia"/>
          <w:sz w:val="28"/>
          <w:szCs w:val="28"/>
        </w:rPr>
        <w:t>основанн</w:t>
      </w:r>
      <w:r w:rsidR="00FC22E3" w:rsidRPr="0038730A">
        <w:rPr>
          <w:rFonts w:eastAsiaTheme="minorEastAsia"/>
          <w:sz w:val="28"/>
          <w:szCs w:val="28"/>
        </w:rPr>
        <w:t>ого</w:t>
      </w:r>
      <w:r w:rsidRPr="0038730A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741A5B" w:rsidRPr="00D465D7" w:rsidRDefault="0098698D" w:rsidP="00741A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30A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38730A">
        <w:rPr>
          <w:rFonts w:ascii="Times New Roman" w:hAnsi="Times New Roman" w:cs="Times New Roman"/>
          <w:sz w:val="28"/>
          <w:szCs w:val="28"/>
        </w:rPr>
        <w:t>п</w:t>
      </w:r>
      <w:r w:rsidR="00A513C3" w:rsidRPr="0038730A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38730A">
        <w:rPr>
          <w:rFonts w:ascii="Times New Roman" w:hAnsi="Times New Roman" w:cs="Times New Roman"/>
          <w:sz w:val="28"/>
          <w:szCs w:val="28"/>
        </w:rPr>
        <w:t xml:space="preserve">, на решение которой направлено правовое регулирование, </w:t>
      </w:r>
      <w:r w:rsidR="00FC22E3" w:rsidRPr="00D465D7">
        <w:rPr>
          <w:rFonts w:ascii="Times New Roman" w:hAnsi="Times New Roman" w:cs="Times New Roman"/>
          <w:sz w:val="28"/>
          <w:szCs w:val="28"/>
        </w:rPr>
        <w:t>сформирована точно</w:t>
      </w:r>
      <w:r w:rsidR="00A513C3" w:rsidRPr="00D465D7">
        <w:rPr>
          <w:rFonts w:ascii="Times New Roman" w:hAnsi="Times New Roman" w:cs="Times New Roman"/>
          <w:sz w:val="28"/>
          <w:szCs w:val="28"/>
        </w:rPr>
        <w:t>;</w:t>
      </w:r>
    </w:p>
    <w:p w:rsidR="0038730A" w:rsidRPr="00D465D7" w:rsidRDefault="0098698D" w:rsidP="0038730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5D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D465D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D465D7">
        <w:rPr>
          <w:rFonts w:ascii="Times New Roman" w:hAnsi="Times New Roman" w:cs="Times New Roman"/>
          <w:sz w:val="28"/>
          <w:szCs w:val="28"/>
        </w:rPr>
        <w:t>вания:</w:t>
      </w:r>
      <w:r w:rsidR="006867AD" w:rsidRPr="00D465D7">
        <w:rPr>
          <w:rFonts w:ascii="Times New Roman" w:hAnsi="Times New Roman" w:cs="Times New Roman"/>
          <w:sz w:val="28"/>
          <w:szCs w:val="28"/>
        </w:rPr>
        <w:t xml:space="preserve"> </w:t>
      </w:r>
      <w:r w:rsidR="0038730A" w:rsidRPr="00D465D7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являются:</w:t>
      </w:r>
    </w:p>
    <w:p w:rsidR="0038730A" w:rsidRPr="008F72A2" w:rsidRDefault="0038730A" w:rsidP="0038730A">
      <w:pPr>
        <w:ind w:firstLine="851"/>
        <w:jc w:val="both"/>
        <w:rPr>
          <w:sz w:val="28"/>
          <w:szCs w:val="28"/>
        </w:rPr>
      </w:pPr>
      <w:r w:rsidRPr="00D465D7">
        <w:rPr>
          <w:sz w:val="28"/>
          <w:szCs w:val="28"/>
        </w:rPr>
        <w:t>при обращении за предоставлением земельных участков для индивидуального жилищного</w:t>
      </w:r>
      <w:r w:rsidRPr="008F72A2">
        <w:rPr>
          <w:sz w:val="28"/>
          <w:szCs w:val="28"/>
        </w:rPr>
        <w:t xml:space="preserve"> строительства, ведения личного подсобного хозяйства в границах населенного пункта, садоводства, дачного хозяйства - граждане или их уполномоченные представители;</w:t>
      </w:r>
    </w:p>
    <w:p w:rsidR="0038730A" w:rsidRPr="008F72A2" w:rsidRDefault="0038730A" w:rsidP="0038730A">
      <w:pPr>
        <w:ind w:firstLine="851"/>
        <w:jc w:val="both"/>
        <w:rPr>
          <w:sz w:val="28"/>
          <w:szCs w:val="28"/>
        </w:rPr>
      </w:pPr>
      <w:r w:rsidRPr="008F72A2">
        <w:rPr>
          <w:sz w:val="28"/>
          <w:szCs w:val="28"/>
        </w:rPr>
        <w:t>при обращении за предоставлением земельных участков для осуществ</w:t>
      </w:r>
      <w:r w:rsidRPr="008F72A2">
        <w:rPr>
          <w:sz w:val="28"/>
          <w:szCs w:val="28"/>
        </w:rPr>
        <w:softHyphen/>
        <w:t>ления крестьянским (фермерским) хозяйством его деятельности - граждане и крестьянские (фермерские) хозяйства либо их уполномоченные представители.</w:t>
      </w:r>
    </w:p>
    <w:p w:rsidR="00427B02" w:rsidRPr="00D465D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65D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D465D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D465D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D465D7">
        <w:rPr>
          <w:rFonts w:ascii="Times New Roman" w:hAnsi="Times New Roman" w:cs="Times New Roman"/>
          <w:sz w:val="28"/>
          <w:szCs w:val="28"/>
        </w:rPr>
        <w:t>ая</w:t>
      </w:r>
      <w:r w:rsidR="00B66716" w:rsidRPr="00D465D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D465D7">
        <w:rPr>
          <w:rFonts w:ascii="Times New Roman" w:hAnsi="Times New Roman" w:cs="Times New Roman"/>
          <w:sz w:val="28"/>
          <w:szCs w:val="28"/>
        </w:rPr>
        <w:t>а</w:t>
      </w:r>
      <w:r w:rsidR="00B66716" w:rsidRPr="00D465D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D465D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D465D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D465D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5D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D465D7">
        <w:rPr>
          <w:rFonts w:ascii="Times New Roman" w:hAnsi="Times New Roman" w:cs="Times New Roman"/>
          <w:sz w:val="28"/>
          <w:szCs w:val="28"/>
        </w:rPr>
        <w:t>цел</w:t>
      </w:r>
      <w:r w:rsidR="00184E7E" w:rsidRPr="00D465D7">
        <w:rPr>
          <w:rFonts w:ascii="Times New Roman" w:hAnsi="Times New Roman" w:cs="Times New Roman"/>
          <w:sz w:val="28"/>
          <w:szCs w:val="28"/>
        </w:rPr>
        <w:t>ь</w:t>
      </w:r>
      <w:r w:rsidR="00B66716" w:rsidRPr="00D465D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D465D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</w:t>
      </w:r>
      <w:r w:rsidR="00184E7E" w:rsidRPr="00D465D7">
        <w:rPr>
          <w:rFonts w:ascii="Times New Roman" w:hAnsi="Times New Roman" w:cs="Times New Roman"/>
          <w:sz w:val="28"/>
          <w:szCs w:val="28"/>
        </w:rPr>
        <w:lastRenderedPageBreak/>
        <w:t>ективно</w:t>
      </w:r>
      <w:r w:rsidR="00B66716" w:rsidRPr="00D465D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D465D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5D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D465D7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D465D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D465D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5D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Тимашевский район), связанных</w:t>
      </w:r>
      <w:r w:rsidR="00B03A55" w:rsidRPr="00D465D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D465D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5D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D465D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D465D7">
        <w:rPr>
          <w:rFonts w:ascii="Times New Roman" w:hAnsi="Times New Roman" w:cs="Times New Roman"/>
          <w:sz w:val="28"/>
          <w:szCs w:val="28"/>
        </w:rPr>
        <w:t>отсутствуют</w:t>
      </w:r>
      <w:r w:rsidRPr="00D465D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D465D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5D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465D7" w:rsidRPr="00D465D7" w:rsidRDefault="00B03A55" w:rsidP="000D604D">
      <w:pPr>
        <w:suppressAutoHyphens/>
        <w:ind w:firstLine="709"/>
        <w:jc w:val="both"/>
        <w:rPr>
          <w:sz w:val="28"/>
          <w:szCs w:val="28"/>
        </w:rPr>
      </w:pPr>
      <w:r w:rsidRPr="00D465D7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D465D7">
        <w:rPr>
          <w:sz w:val="28"/>
          <w:szCs w:val="28"/>
        </w:rPr>
        <w:t xml:space="preserve">: </w:t>
      </w:r>
    </w:p>
    <w:p w:rsidR="00D465D7" w:rsidRPr="008F72A2" w:rsidRDefault="00D465D7" w:rsidP="00D465D7">
      <w:pPr>
        <w:ind w:firstLine="851"/>
        <w:jc w:val="both"/>
        <w:rPr>
          <w:sz w:val="28"/>
          <w:szCs w:val="28"/>
        </w:rPr>
      </w:pPr>
      <w:r w:rsidRPr="00D465D7">
        <w:rPr>
          <w:sz w:val="28"/>
          <w:szCs w:val="28"/>
        </w:rPr>
        <w:t>при обращении за предоставлением земельных участков для индивидуального жилищного строительства, ведения личного подсобного хозяйства в границах населенного пункта, садоводства, дачного хозяйства - граждане или их уполномоченные представители;</w:t>
      </w:r>
    </w:p>
    <w:p w:rsidR="00D465D7" w:rsidRPr="00D465D7" w:rsidRDefault="00D465D7" w:rsidP="00D465D7">
      <w:pPr>
        <w:ind w:firstLine="851"/>
        <w:jc w:val="both"/>
        <w:rPr>
          <w:sz w:val="28"/>
          <w:szCs w:val="28"/>
        </w:rPr>
      </w:pPr>
      <w:r w:rsidRPr="008F72A2">
        <w:rPr>
          <w:sz w:val="28"/>
          <w:szCs w:val="28"/>
        </w:rPr>
        <w:t>при обращении за предоставлением земельных участков для осуществ</w:t>
      </w:r>
      <w:r w:rsidRPr="008F72A2">
        <w:rPr>
          <w:sz w:val="28"/>
          <w:szCs w:val="28"/>
        </w:rPr>
        <w:softHyphen/>
        <w:t xml:space="preserve">ления крестьянским (фермерским) хозяйством его деятельности - граждане и </w:t>
      </w:r>
      <w:r w:rsidRPr="00D465D7">
        <w:rPr>
          <w:sz w:val="28"/>
          <w:szCs w:val="28"/>
        </w:rPr>
        <w:t>крестьянские (фермерские) хозяйства либо их уполномоченные представители.</w:t>
      </w:r>
    </w:p>
    <w:p w:rsidR="00B03A55" w:rsidRPr="00D465D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5D7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D465D7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D465D7">
        <w:rPr>
          <w:rFonts w:ascii="Times New Roman" w:hAnsi="Times New Roman" w:cs="Times New Roman"/>
          <w:sz w:val="28"/>
          <w:szCs w:val="28"/>
        </w:rPr>
        <w:t>:</w:t>
      </w:r>
    </w:p>
    <w:p w:rsidR="00D465D7" w:rsidRDefault="00D465D7" w:rsidP="00D465D7">
      <w:pPr>
        <w:ind w:firstLine="709"/>
        <w:jc w:val="both"/>
        <w:outlineLvl w:val="0"/>
        <w:rPr>
          <w:sz w:val="28"/>
          <w:szCs w:val="28"/>
        </w:rPr>
      </w:pPr>
      <w:r w:rsidRPr="00D465D7">
        <w:rPr>
          <w:sz w:val="28"/>
          <w:szCs w:val="28"/>
        </w:rPr>
        <w:t>Административный регламент предоставления администрацией муниципального образования Тимашевский район муниципальной услуги «Предоставление земельных</w:t>
      </w:r>
      <w:r w:rsidRPr="0004171D">
        <w:rPr>
          <w:sz w:val="28"/>
          <w:szCs w:val="28"/>
        </w:rPr>
        <w:t xml:space="preserve">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 определяет стандарты, сроки и последовательность административных процедур (действий) предоставления администрацией муниципального образования Тимашевский район муниципальной услуги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D465D7" w:rsidRDefault="00D465D7" w:rsidP="00D465D7">
      <w:pPr>
        <w:ind w:firstLine="709"/>
        <w:jc w:val="both"/>
        <w:rPr>
          <w:sz w:val="28"/>
          <w:szCs w:val="28"/>
        </w:rPr>
      </w:pPr>
      <w:r w:rsidRPr="0004171D">
        <w:rPr>
          <w:sz w:val="28"/>
          <w:szCs w:val="28"/>
        </w:rPr>
        <w:t>Муниципальная услуга предоставляется администрацией муници</w:t>
      </w:r>
      <w:r w:rsidRPr="0004171D">
        <w:rPr>
          <w:sz w:val="28"/>
          <w:szCs w:val="28"/>
        </w:rPr>
        <w:softHyphen/>
        <w:t>пального образования Тимашевский район через отраслевой (функциональный) орган админи</w:t>
      </w:r>
      <w:r w:rsidRPr="0004171D">
        <w:rPr>
          <w:sz w:val="28"/>
          <w:szCs w:val="28"/>
        </w:rPr>
        <w:softHyphen/>
        <w:t>страции муниципального образования Тимашевский район – отдел земельных и имущественных отношений администрации муниципального образования Ти</w:t>
      </w:r>
      <w:r w:rsidRPr="0004171D">
        <w:rPr>
          <w:sz w:val="28"/>
          <w:szCs w:val="28"/>
        </w:rPr>
        <w:softHyphen/>
        <w:t>машевский район.</w:t>
      </w:r>
    </w:p>
    <w:p w:rsidR="00D24FAE" w:rsidRPr="00D465D7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D465D7">
        <w:rPr>
          <w:sz w:val="28"/>
          <w:szCs w:val="28"/>
        </w:rPr>
        <w:t xml:space="preserve">  </w:t>
      </w:r>
      <w:r w:rsidR="008F7D3C" w:rsidRPr="00D465D7">
        <w:rPr>
          <w:sz w:val="28"/>
          <w:szCs w:val="28"/>
        </w:rPr>
        <w:t xml:space="preserve"> </w:t>
      </w:r>
      <w:r w:rsidR="008721A3" w:rsidRPr="00D465D7">
        <w:rPr>
          <w:sz w:val="28"/>
          <w:szCs w:val="28"/>
        </w:rPr>
        <w:t xml:space="preserve">  </w:t>
      </w:r>
      <w:r w:rsidR="00552C4E" w:rsidRPr="00D465D7">
        <w:rPr>
          <w:sz w:val="28"/>
          <w:szCs w:val="28"/>
        </w:rPr>
        <w:t xml:space="preserve">   </w:t>
      </w:r>
      <w:r w:rsidR="00A11721" w:rsidRPr="00D465D7">
        <w:rPr>
          <w:sz w:val="28"/>
          <w:szCs w:val="28"/>
        </w:rPr>
        <w:t xml:space="preserve">  </w:t>
      </w:r>
      <w:r w:rsidR="00552C4E" w:rsidRPr="00D465D7">
        <w:rPr>
          <w:sz w:val="28"/>
          <w:szCs w:val="28"/>
        </w:rPr>
        <w:t xml:space="preserve"> </w:t>
      </w:r>
      <w:r w:rsidR="008721A3" w:rsidRPr="00D465D7">
        <w:rPr>
          <w:sz w:val="28"/>
          <w:szCs w:val="28"/>
        </w:rPr>
        <w:t xml:space="preserve"> </w:t>
      </w:r>
      <w:r w:rsidR="00D24FAE" w:rsidRPr="00D465D7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D465D7" w:rsidRDefault="00D24FAE" w:rsidP="00D465D7">
      <w:pPr>
        <w:ind w:firstLine="709"/>
        <w:jc w:val="both"/>
        <w:outlineLvl w:val="0"/>
        <w:rPr>
          <w:sz w:val="28"/>
          <w:szCs w:val="28"/>
        </w:rPr>
      </w:pPr>
      <w:r w:rsidRPr="00D465D7">
        <w:rPr>
          <w:sz w:val="28"/>
          <w:szCs w:val="28"/>
        </w:rPr>
        <w:t xml:space="preserve">3. </w:t>
      </w:r>
      <w:r w:rsidR="008E0AF8" w:rsidRPr="00D465D7">
        <w:rPr>
          <w:sz w:val="28"/>
          <w:szCs w:val="28"/>
        </w:rPr>
        <w:t xml:space="preserve">Цель предлагаемого правового регулирования </w:t>
      </w:r>
      <w:r w:rsidR="005D6735" w:rsidRPr="00D465D7">
        <w:rPr>
          <w:sz w:val="28"/>
          <w:szCs w:val="28"/>
        </w:rPr>
        <w:t>-</w:t>
      </w:r>
      <w:r w:rsidR="00FE7E48" w:rsidRPr="00D465D7">
        <w:rPr>
          <w:sz w:val="28"/>
          <w:szCs w:val="28"/>
        </w:rPr>
        <w:t xml:space="preserve"> </w:t>
      </w:r>
      <w:r w:rsidR="00D465D7" w:rsidRPr="00D465D7">
        <w:rPr>
          <w:sz w:val="28"/>
          <w:szCs w:val="28"/>
        </w:rPr>
        <w:t>регламент определяет стандарты, сроки и последовательность</w:t>
      </w:r>
      <w:r w:rsidR="00D465D7" w:rsidRPr="0004171D">
        <w:rPr>
          <w:sz w:val="28"/>
          <w:szCs w:val="28"/>
        </w:rPr>
        <w:t xml:space="preserve"> административных процедур (дей</w:t>
      </w:r>
      <w:r w:rsidR="00D465D7" w:rsidRPr="0004171D">
        <w:rPr>
          <w:sz w:val="28"/>
          <w:szCs w:val="28"/>
        </w:rPr>
        <w:lastRenderedPageBreak/>
        <w:t>ствий) предоставления администрацией муниципального образования Тимашевский район муниципальной услуги предоставления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F50B52" w:rsidRPr="00903DB4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5D7">
        <w:rPr>
          <w:rFonts w:ascii="Times New Roman" w:hAnsi="Times New Roman" w:cs="Times New Roman"/>
          <w:sz w:val="28"/>
          <w:szCs w:val="28"/>
        </w:rPr>
        <w:t>Цел</w:t>
      </w:r>
      <w:r w:rsidR="00F80C12" w:rsidRPr="00D465D7">
        <w:rPr>
          <w:rFonts w:ascii="Times New Roman" w:hAnsi="Times New Roman" w:cs="Times New Roman"/>
          <w:sz w:val="28"/>
          <w:szCs w:val="28"/>
        </w:rPr>
        <w:t>ь</w:t>
      </w:r>
      <w:r w:rsidRPr="00D465D7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D465D7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D465D7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D465D7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D465D7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</w:t>
      </w:r>
      <w:r w:rsidRPr="00903DB4">
        <w:rPr>
          <w:rFonts w:ascii="Times New Roman" w:hAnsi="Times New Roman" w:cs="Times New Roman"/>
          <w:sz w:val="28"/>
          <w:szCs w:val="28"/>
        </w:rPr>
        <w:t>Федерации</w:t>
      </w:r>
      <w:r w:rsidR="00853957" w:rsidRPr="00903DB4">
        <w:rPr>
          <w:rFonts w:ascii="Times New Roman" w:hAnsi="Times New Roman" w:cs="Times New Roman"/>
          <w:sz w:val="28"/>
          <w:szCs w:val="28"/>
        </w:rPr>
        <w:t xml:space="preserve"> и </w:t>
      </w:r>
      <w:r w:rsidRPr="00903DB4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23584" w:rsidRPr="00903DB4" w:rsidRDefault="00F50B52" w:rsidP="004B3B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DB4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903DB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903DB4">
        <w:rPr>
          <w:rFonts w:ascii="Times New Roman" w:hAnsi="Times New Roman" w:cs="Times New Roman"/>
          <w:sz w:val="28"/>
          <w:szCs w:val="28"/>
        </w:rPr>
        <w:t>п</w:t>
      </w:r>
      <w:r w:rsidRPr="00903DB4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903DB4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903DB4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903DB4">
        <w:rPr>
          <w:rFonts w:ascii="Times New Roman" w:hAnsi="Times New Roman" w:cs="Times New Roman"/>
          <w:sz w:val="28"/>
          <w:szCs w:val="28"/>
        </w:rPr>
        <w:t xml:space="preserve">которые устанавливают права и обязанности для потенциальных адресатов предлагаемого правового регулирования. </w:t>
      </w:r>
    </w:p>
    <w:p w:rsidR="00903DB4" w:rsidRDefault="00903DB4" w:rsidP="00903DB4">
      <w:pPr>
        <w:ind w:firstLine="709"/>
        <w:jc w:val="both"/>
        <w:rPr>
          <w:sz w:val="28"/>
          <w:szCs w:val="28"/>
        </w:rPr>
      </w:pPr>
      <w:r w:rsidRPr="00D61A13">
        <w:rPr>
          <w:sz w:val="28"/>
          <w:szCs w:val="28"/>
        </w:rPr>
        <w:t xml:space="preserve">Основанием для предоставления муниципальной услуги является подача заявителем заявления о предварительном согласовании предоставления земельного участка, если земельный участок предстоит образовать или границы его подлежат уточнению в соответствии с Федеральным законом «О государственной регистрации недвижимости» либо заявления о предоставлении земельного участка </w:t>
      </w:r>
    </w:p>
    <w:p w:rsidR="00903DB4" w:rsidRPr="00903DB4" w:rsidRDefault="00903DB4" w:rsidP="00903DB4">
      <w:pPr>
        <w:ind w:firstLine="709"/>
        <w:jc w:val="both"/>
        <w:rPr>
          <w:sz w:val="28"/>
          <w:szCs w:val="28"/>
        </w:rPr>
      </w:pPr>
      <w:r w:rsidRPr="00903DB4">
        <w:rPr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903DB4" w:rsidRPr="00903DB4" w:rsidRDefault="00903DB4" w:rsidP="00903DB4">
      <w:pPr>
        <w:ind w:firstLine="709"/>
        <w:jc w:val="both"/>
        <w:rPr>
          <w:sz w:val="28"/>
          <w:szCs w:val="28"/>
        </w:rPr>
      </w:pPr>
      <w:r w:rsidRPr="00903DB4">
        <w:rPr>
          <w:sz w:val="28"/>
          <w:szCs w:val="28"/>
        </w:rPr>
        <w:t xml:space="preserve">1) документ, удостоверяющий права (полномочия) представителя, если с заявлением обращается представитель заявителя (заявителей) (копия, 1 </w:t>
      </w:r>
      <w:r w:rsidRPr="00903DB4">
        <w:rPr>
          <w:bCs/>
          <w:sz w:val="28"/>
          <w:szCs w:val="28"/>
        </w:rPr>
        <w:t>экземпляр);</w:t>
      </w:r>
    </w:p>
    <w:p w:rsidR="00903DB4" w:rsidRPr="00903DB4" w:rsidRDefault="00903DB4" w:rsidP="00903DB4">
      <w:pPr>
        <w:ind w:firstLine="709"/>
        <w:jc w:val="both"/>
        <w:rPr>
          <w:sz w:val="28"/>
          <w:szCs w:val="28"/>
        </w:rPr>
      </w:pPr>
      <w:r w:rsidRPr="00903DB4">
        <w:rPr>
          <w:sz w:val="28"/>
          <w:szCs w:val="28"/>
        </w:rPr>
        <w:t>2) соглашение о создании крестьянского (фермерского) хозяйства в слу</w:t>
      </w:r>
      <w:r w:rsidRPr="00903DB4">
        <w:rPr>
          <w:sz w:val="28"/>
          <w:szCs w:val="28"/>
        </w:rPr>
        <w:softHyphen/>
        <w:t>чае, если фермерское хозяйство создано несколькими гражданами (в случае осуществления крестьянским (фермерским) хозяйством его деятельности) (ко</w:t>
      </w:r>
      <w:r w:rsidRPr="00903DB4">
        <w:rPr>
          <w:sz w:val="28"/>
          <w:szCs w:val="28"/>
        </w:rPr>
        <w:softHyphen/>
        <w:t>пия, 1 экземпляр);</w:t>
      </w:r>
    </w:p>
    <w:p w:rsidR="00903DB4" w:rsidRPr="00903DB4" w:rsidRDefault="00903DB4" w:rsidP="00903DB4">
      <w:pPr>
        <w:ind w:firstLine="709"/>
        <w:jc w:val="both"/>
        <w:rPr>
          <w:sz w:val="28"/>
          <w:szCs w:val="28"/>
        </w:rPr>
      </w:pPr>
      <w:r w:rsidRPr="00903DB4">
        <w:rPr>
          <w:sz w:val="28"/>
          <w:szCs w:val="28"/>
        </w:rPr>
        <w:t>3) схема расположения земельного участка, в случае, если испрашивае</w:t>
      </w:r>
      <w:r w:rsidRPr="00903DB4">
        <w:rPr>
          <w:sz w:val="28"/>
          <w:szCs w:val="28"/>
        </w:rPr>
        <w:softHyphen/>
        <w:t>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 (подлинник, 1 экземпляр).</w:t>
      </w:r>
    </w:p>
    <w:p w:rsidR="00903DB4" w:rsidRPr="00903DB4" w:rsidRDefault="00903DB4" w:rsidP="00903DB4">
      <w:pPr>
        <w:ind w:firstLine="709"/>
        <w:jc w:val="both"/>
        <w:rPr>
          <w:sz w:val="28"/>
          <w:szCs w:val="28"/>
        </w:rPr>
      </w:pPr>
      <w:r w:rsidRPr="00903DB4">
        <w:rPr>
          <w:sz w:val="28"/>
          <w:szCs w:val="28"/>
        </w:rPr>
        <w:t>Заявитель при подаче заявления предъявляет документ, подтверждающий его личность.</w:t>
      </w:r>
    </w:p>
    <w:p w:rsidR="00903DB4" w:rsidRDefault="00903DB4" w:rsidP="00903DB4">
      <w:pPr>
        <w:ind w:firstLine="709"/>
        <w:jc w:val="both"/>
        <w:rPr>
          <w:sz w:val="28"/>
          <w:szCs w:val="28"/>
        </w:rPr>
      </w:pPr>
      <w:r w:rsidRPr="00903DB4">
        <w:rPr>
          <w:sz w:val="28"/>
          <w:szCs w:val="28"/>
        </w:rPr>
        <w:t>В случае направления заявления посредством почтовой связи на бумаж</w:t>
      </w:r>
      <w:r w:rsidRPr="00903DB4">
        <w:rPr>
          <w:sz w:val="28"/>
          <w:szCs w:val="28"/>
        </w:rPr>
        <w:softHyphen/>
        <w:t>ном носителе к такому заявлению прилагается копия документа, подтвержда</w:t>
      </w:r>
      <w:r w:rsidRPr="00903DB4">
        <w:rPr>
          <w:sz w:val="28"/>
          <w:szCs w:val="28"/>
        </w:rPr>
        <w:softHyphen/>
        <w:t>ющего личность заявителя, а в случае направления такого заявления представи</w:t>
      </w:r>
      <w:r w:rsidRPr="00903DB4">
        <w:rPr>
          <w:sz w:val="28"/>
          <w:szCs w:val="28"/>
        </w:rPr>
        <w:softHyphen/>
        <w:t>телем юридического или физического лица - копия документа, подтверждаю</w:t>
      </w:r>
      <w:r w:rsidRPr="00903DB4">
        <w:rPr>
          <w:sz w:val="28"/>
          <w:szCs w:val="28"/>
        </w:rPr>
        <w:softHyphen/>
        <w:t>щего полномочия представителя юридического или физического лица в соот</w:t>
      </w:r>
      <w:r w:rsidRPr="00903DB4">
        <w:rPr>
          <w:sz w:val="28"/>
          <w:szCs w:val="28"/>
        </w:rPr>
        <w:softHyphen/>
        <w:t>ветствии с законодательством Российской Федерации.</w:t>
      </w:r>
    </w:p>
    <w:p w:rsidR="00730340" w:rsidRPr="00903DB4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903DB4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903DB4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903DB4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903DB4">
        <w:rPr>
          <w:rFonts w:ascii="Times New Roman" w:hAnsi="Times New Roman" w:cs="Times New Roman"/>
          <w:sz w:val="28"/>
          <w:szCs w:val="28"/>
        </w:rPr>
        <w:t>.</w:t>
      </w:r>
    </w:p>
    <w:p w:rsidR="00CA2F2C" w:rsidRPr="00903DB4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DB4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903DB4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A2F2C" w:rsidRPr="00653C0B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Расходы потенциальных адресатов предлагаемого правового регулирования, предполагаются в виде информационных издержек на подготовку и представление необходимых документов при подаче </w:t>
      </w:r>
      <w:r w:rsidR="00BA64F8" w:rsidRPr="00653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</w:t>
      </w:r>
      <w:r w:rsidR="00653C0B" w:rsidRPr="00653C0B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</w:t>
      </w:r>
      <w:r w:rsidRPr="00653C0B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Pr="00653C0B">
        <w:rPr>
          <w:rFonts w:ascii="Times New Roman" w:hAnsi="Times New Roman" w:cs="Times New Roman"/>
          <w:sz w:val="28"/>
          <w:szCs w:val="28"/>
        </w:rPr>
        <w:t xml:space="preserve"> примерно </w:t>
      </w:r>
      <w:r w:rsidR="00847099" w:rsidRPr="00653C0B">
        <w:rPr>
          <w:rFonts w:ascii="Times New Roman" w:hAnsi="Times New Roman" w:cs="Times New Roman"/>
          <w:sz w:val="28"/>
          <w:szCs w:val="28"/>
        </w:rPr>
        <w:t>73</w:t>
      </w:r>
      <w:r w:rsidR="00EF4349" w:rsidRPr="00653C0B">
        <w:rPr>
          <w:rFonts w:ascii="Times New Roman" w:hAnsi="Times New Roman" w:cs="Times New Roman"/>
          <w:sz w:val="28"/>
          <w:szCs w:val="28"/>
        </w:rPr>
        <w:t>,</w:t>
      </w:r>
      <w:r w:rsidR="00847099" w:rsidRPr="00653C0B">
        <w:rPr>
          <w:rFonts w:ascii="Times New Roman" w:hAnsi="Times New Roman" w:cs="Times New Roman"/>
          <w:sz w:val="28"/>
          <w:szCs w:val="28"/>
        </w:rPr>
        <w:t>15</w:t>
      </w:r>
      <w:r w:rsidRPr="00653C0B">
        <w:rPr>
          <w:rFonts w:ascii="Times New Roman" w:hAnsi="Times New Roman" w:cs="Times New Roman"/>
          <w:sz w:val="28"/>
          <w:szCs w:val="28"/>
        </w:rPr>
        <w:t xml:space="preserve"> рублей в расчете на 1 заявителя.</w:t>
      </w:r>
    </w:p>
    <w:p w:rsidR="00CA2F2C" w:rsidRPr="00653C0B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CA2F2C" w:rsidRPr="00653C0B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 w:rsidRPr="00653C0B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653C0B">
        <w:rPr>
          <w:rFonts w:ascii="Times New Roman" w:hAnsi="Times New Roman" w:cs="Times New Roman"/>
          <w:sz w:val="28"/>
          <w:szCs w:val="28"/>
        </w:rPr>
        <w:t>.</w:t>
      </w:r>
      <w:r w:rsidRPr="00653C0B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653C0B">
        <w:rPr>
          <w:rFonts w:ascii="Times New Roman" w:hAnsi="Times New Roman" w:cs="Times New Roman"/>
          <w:sz w:val="28"/>
          <w:szCs w:val="28"/>
        </w:rPr>
        <w:t>.</w:t>
      </w:r>
      <w:r w:rsidRPr="00653C0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53C0B">
        <w:rPr>
          <w:rFonts w:ascii="Times New Roman" w:hAnsi="Times New Roman" w:cs="Times New Roman"/>
          <w:sz w:val="28"/>
          <w:szCs w:val="28"/>
        </w:rPr>
        <w:t>):</w:t>
      </w:r>
    </w:p>
    <w:p w:rsidR="00CA2F2C" w:rsidRPr="00653C0B" w:rsidRDefault="00CA2F2C" w:rsidP="00CA2F2C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53C0B">
        <w:rPr>
          <w:sz w:val="28"/>
          <w:szCs w:val="28"/>
        </w:rPr>
        <w:t xml:space="preserve">        название требования: подача </w:t>
      </w:r>
      <w:r w:rsidR="00BA64F8" w:rsidRPr="00653C0B">
        <w:rPr>
          <w:sz w:val="28"/>
          <w:szCs w:val="28"/>
        </w:rPr>
        <w:t xml:space="preserve">заявления </w:t>
      </w:r>
      <w:r w:rsidR="005D6735" w:rsidRPr="00653C0B">
        <w:rPr>
          <w:sz w:val="28"/>
          <w:szCs w:val="28"/>
        </w:rPr>
        <w:t xml:space="preserve">о </w:t>
      </w:r>
      <w:r w:rsidR="00FB1213" w:rsidRPr="00D61A13">
        <w:rPr>
          <w:sz w:val="28"/>
          <w:szCs w:val="28"/>
        </w:rPr>
        <w:t>предварительном согласовании пр</w:t>
      </w:r>
      <w:r w:rsidR="00FB1213">
        <w:rPr>
          <w:sz w:val="28"/>
          <w:szCs w:val="28"/>
        </w:rPr>
        <w:t>едоставления земельного участка</w:t>
      </w:r>
      <w:r w:rsidRPr="00653C0B">
        <w:rPr>
          <w:sz w:val="28"/>
          <w:szCs w:val="28"/>
        </w:rPr>
        <w:t xml:space="preserve">; </w:t>
      </w:r>
    </w:p>
    <w:p w:rsidR="00CA2F2C" w:rsidRPr="00653C0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53C0B">
        <w:rPr>
          <w:sz w:val="28"/>
          <w:szCs w:val="28"/>
        </w:rPr>
        <w:t xml:space="preserve">        тип требования: предоставление информации;</w:t>
      </w:r>
    </w:p>
    <w:p w:rsidR="00CA2F2C" w:rsidRPr="00653C0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53C0B">
        <w:rPr>
          <w:sz w:val="28"/>
          <w:szCs w:val="28"/>
        </w:rPr>
        <w:t xml:space="preserve">        раздел требования: информационное</w:t>
      </w:r>
    </w:p>
    <w:p w:rsidR="00B77C8E" w:rsidRPr="00653C0B" w:rsidRDefault="00CA2F2C" w:rsidP="00B77C8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53C0B">
        <w:rPr>
          <w:sz w:val="28"/>
          <w:szCs w:val="28"/>
        </w:rPr>
        <w:t xml:space="preserve">        информационный элемент: </w:t>
      </w:r>
      <w:r w:rsidR="003F7662" w:rsidRPr="00653C0B">
        <w:rPr>
          <w:sz w:val="28"/>
          <w:szCs w:val="28"/>
        </w:rPr>
        <w:t xml:space="preserve">подача </w:t>
      </w:r>
      <w:r w:rsidR="00BA64F8" w:rsidRPr="00653C0B">
        <w:rPr>
          <w:sz w:val="28"/>
          <w:szCs w:val="28"/>
        </w:rPr>
        <w:t xml:space="preserve">заявления </w:t>
      </w:r>
      <w:r w:rsidR="00B77C8E" w:rsidRPr="00653C0B">
        <w:rPr>
          <w:color w:val="000000" w:themeColor="text1"/>
          <w:sz w:val="28"/>
          <w:szCs w:val="28"/>
        </w:rPr>
        <w:t xml:space="preserve">о </w:t>
      </w:r>
      <w:r w:rsidR="00FB1213" w:rsidRPr="00D61A13">
        <w:rPr>
          <w:sz w:val="28"/>
          <w:szCs w:val="28"/>
        </w:rPr>
        <w:t>предварительном согласовании пр</w:t>
      </w:r>
      <w:r w:rsidR="00FB1213">
        <w:rPr>
          <w:sz w:val="28"/>
          <w:szCs w:val="28"/>
        </w:rPr>
        <w:t>едоставления земельного участка</w:t>
      </w:r>
      <w:r w:rsidR="00B77C8E" w:rsidRPr="00653C0B">
        <w:rPr>
          <w:sz w:val="28"/>
          <w:szCs w:val="28"/>
        </w:rPr>
        <w:t xml:space="preserve">; </w:t>
      </w:r>
    </w:p>
    <w:p w:rsidR="00CA2F2C" w:rsidRPr="00653C0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53C0B">
        <w:rPr>
          <w:bCs/>
          <w:sz w:val="28"/>
          <w:szCs w:val="28"/>
        </w:rPr>
        <w:t xml:space="preserve">        масштаб:</w:t>
      </w:r>
      <w:r w:rsidRPr="00653C0B">
        <w:rPr>
          <w:sz w:val="28"/>
          <w:szCs w:val="28"/>
        </w:rPr>
        <w:t xml:space="preserve"> подача заявления - 1 ед. </w:t>
      </w:r>
    </w:p>
    <w:p w:rsidR="00CA2F2C" w:rsidRPr="00653C0B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653C0B">
        <w:rPr>
          <w:bCs/>
          <w:sz w:val="28"/>
          <w:szCs w:val="28"/>
        </w:rPr>
        <w:t>частота:</w:t>
      </w:r>
      <w:r w:rsidRPr="00653C0B">
        <w:rPr>
          <w:sz w:val="28"/>
          <w:szCs w:val="28"/>
        </w:rPr>
        <w:t xml:space="preserve"> 1 раз   </w:t>
      </w:r>
    </w:p>
    <w:p w:rsidR="00CA2F2C" w:rsidRPr="00653C0B" w:rsidRDefault="00CA2F2C" w:rsidP="00CA2F2C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653C0B">
        <w:rPr>
          <w:bCs/>
          <w:sz w:val="28"/>
          <w:szCs w:val="28"/>
        </w:rPr>
        <w:t>Действия:</w:t>
      </w:r>
      <w:r w:rsidRPr="00653C0B">
        <w:rPr>
          <w:sz w:val="28"/>
          <w:szCs w:val="28"/>
        </w:rPr>
        <w:t xml:space="preserve"> </w:t>
      </w:r>
    </w:p>
    <w:p w:rsidR="00CA2F2C" w:rsidRPr="00653C0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53C0B">
        <w:rPr>
          <w:sz w:val="28"/>
          <w:szCs w:val="28"/>
        </w:rPr>
        <w:t xml:space="preserve">           Написание любого документа низкого уровня сложности (менее 5 стр. печатного текста) - 0,</w:t>
      </w:r>
      <w:r w:rsidR="00100E1F" w:rsidRPr="00653C0B">
        <w:rPr>
          <w:sz w:val="28"/>
          <w:szCs w:val="28"/>
        </w:rPr>
        <w:t>1</w:t>
      </w:r>
      <w:r w:rsidRPr="00653C0B">
        <w:rPr>
          <w:sz w:val="28"/>
          <w:szCs w:val="28"/>
        </w:rPr>
        <w:t>0 чел./часов.</w:t>
      </w:r>
    </w:p>
    <w:p w:rsidR="00CA2F2C" w:rsidRPr="00653C0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53C0B">
        <w:rPr>
          <w:sz w:val="28"/>
          <w:szCs w:val="28"/>
        </w:rPr>
        <w:t xml:space="preserve">          Копирование документов - 0,</w:t>
      </w:r>
      <w:r w:rsidR="00100E1F" w:rsidRPr="00653C0B">
        <w:rPr>
          <w:sz w:val="28"/>
          <w:szCs w:val="28"/>
        </w:rPr>
        <w:t>2</w:t>
      </w:r>
      <w:r w:rsidRPr="00653C0B">
        <w:rPr>
          <w:sz w:val="28"/>
          <w:szCs w:val="28"/>
        </w:rPr>
        <w:t>0 чел./часов.</w:t>
      </w:r>
    </w:p>
    <w:p w:rsidR="00CA2F2C" w:rsidRPr="00653C0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53C0B">
        <w:rPr>
          <w:bCs/>
          <w:sz w:val="28"/>
          <w:szCs w:val="28"/>
        </w:rPr>
        <w:t xml:space="preserve">          Список приобретений:</w:t>
      </w:r>
      <w:r w:rsidRPr="00653C0B">
        <w:rPr>
          <w:sz w:val="28"/>
          <w:szCs w:val="28"/>
        </w:rPr>
        <w:t xml:space="preserve"> Нет </w:t>
      </w:r>
    </w:p>
    <w:p w:rsidR="00CA2F2C" w:rsidRPr="00653C0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53C0B">
        <w:rPr>
          <w:bCs/>
          <w:sz w:val="28"/>
          <w:szCs w:val="28"/>
        </w:rPr>
        <w:t xml:space="preserve">      Среднемесячная заработная плата </w:t>
      </w:r>
      <w:r w:rsidR="00D562E0" w:rsidRPr="00653C0B">
        <w:rPr>
          <w:bCs/>
          <w:sz w:val="28"/>
          <w:szCs w:val="28"/>
        </w:rPr>
        <w:t xml:space="preserve">работников крупных и средних организаций муниципального образования Тимашевский район по состоянию на 1 </w:t>
      </w:r>
      <w:r w:rsidR="004F0D8D" w:rsidRPr="00653C0B">
        <w:rPr>
          <w:bCs/>
          <w:sz w:val="28"/>
          <w:szCs w:val="28"/>
        </w:rPr>
        <w:t xml:space="preserve">апреля </w:t>
      </w:r>
      <w:r w:rsidR="00D562E0" w:rsidRPr="00653C0B">
        <w:rPr>
          <w:bCs/>
          <w:sz w:val="28"/>
          <w:szCs w:val="28"/>
        </w:rPr>
        <w:t xml:space="preserve">2021 г.  </w:t>
      </w:r>
      <w:r w:rsidRPr="00653C0B">
        <w:rPr>
          <w:bCs/>
          <w:sz w:val="28"/>
          <w:szCs w:val="28"/>
        </w:rPr>
        <w:t>согласно данным</w:t>
      </w:r>
      <w:r w:rsidR="002470D1" w:rsidRPr="00653C0B">
        <w:rPr>
          <w:bCs/>
          <w:sz w:val="28"/>
          <w:szCs w:val="28"/>
        </w:rPr>
        <w:t xml:space="preserve"> органов стат</w:t>
      </w:r>
      <w:r w:rsidRPr="00653C0B">
        <w:rPr>
          <w:bCs/>
          <w:sz w:val="28"/>
          <w:szCs w:val="28"/>
        </w:rPr>
        <w:t>истики:</w:t>
      </w:r>
      <w:r w:rsidRPr="00653C0B">
        <w:rPr>
          <w:sz w:val="28"/>
          <w:szCs w:val="28"/>
        </w:rPr>
        <w:t xml:space="preserve"> </w:t>
      </w:r>
      <w:r w:rsidR="00D562E0" w:rsidRPr="00653C0B">
        <w:rPr>
          <w:sz w:val="28"/>
          <w:szCs w:val="28"/>
        </w:rPr>
        <w:t>40</w:t>
      </w:r>
      <w:r w:rsidR="004F0D8D" w:rsidRPr="00653C0B">
        <w:rPr>
          <w:sz w:val="28"/>
          <w:szCs w:val="28"/>
        </w:rPr>
        <w:t>963</w:t>
      </w:r>
      <w:r w:rsidRPr="00653C0B">
        <w:rPr>
          <w:sz w:val="28"/>
          <w:szCs w:val="28"/>
        </w:rPr>
        <w:t xml:space="preserve">,00 руб. </w:t>
      </w:r>
    </w:p>
    <w:p w:rsidR="00CA2F2C" w:rsidRPr="00653C0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53C0B">
        <w:rPr>
          <w:bCs/>
          <w:sz w:val="28"/>
          <w:szCs w:val="28"/>
        </w:rPr>
        <w:t xml:space="preserve">         Средняя стоимость часа работы:</w:t>
      </w:r>
      <w:r w:rsidRPr="00653C0B">
        <w:rPr>
          <w:sz w:val="28"/>
          <w:szCs w:val="28"/>
        </w:rPr>
        <w:t xml:space="preserve"> 2</w:t>
      </w:r>
      <w:r w:rsidR="00100E1F" w:rsidRPr="00653C0B">
        <w:rPr>
          <w:sz w:val="28"/>
          <w:szCs w:val="28"/>
        </w:rPr>
        <w:t>43</w:t>
      </w:r>
      <w:r w:rsidRPr="00653C0B">
        <w:rPr>
          <w:sz w:val="28"/>
          <w:szCs w:val="28"/>
        </w:rPr>
        <w:t>,</w:t>
      </w:r>
      <w:r w:rsidR="00100E1F" w:rsidRPr="00653C0B">
        <w:rPr>
          <w:sz w:val="28"/>
          <w:szCs w:val="28"/>
        </w:rPr>
        <w:t xml:space="preserve">83 </w:t>
      </w:r>
      <w:r w:rsidRPr="00653C0B">
        <w:rPr>
          <w:sz w:val="28"/>
          <w:szCs w:val="28"/>
        </w:rPr>
        <w:t xml:space="preserve">руб. </w:t>
      </w:r>
    </w:p>
    <w:p w:rsidR="00CA2F2C" w:rsidRPr="00653C0B" w:rsidRDefault="00CA2F2C" w:rsidP="00CA2F2C">
      <w:pPr>
        <w:widowControl/>
        <w:autoSpaceDE/>
        <w:autoSpaceDN/>
        <w:adjustRightInd/>
        <w:rPr>
          <w:sz w:val="28"/>
          <w:szCs w:val="28"/>
        </w:rPr>
      </w:pPr>
      <w:r w:rsidRPr="00653C0B">
        <w:rPr>
          <w:sz w:val="28"/>
          <w:szCs w:val="28"/>
        </w:rPr>
        <w:t xml:space="preserve">          Общая стоимость требования: </w:t>
      </w:r>
      <w:r w:rsidR="00100E1F" w:rsidRPr="00653C0B">
        <w:rPr>
          <w:sz w:val="28"/>
          <w:szCs w:val="28"/>
        </w:rPr>
        <w:t>73</w:t>
      </w:r>
      <w:r w:rsidR="00EF4349" w:rsidRPr="00653C0B">
        <w:rPr>
          <w:sz w:val="28"/>
          <w:szCs w:val="28"/>
        </w:rPr>
        <w:t>,</w:t>
      </w:r>
      <w:r w:rsidR="00100E1F" w:rsidRPr="00653C0B">
        <w:rPr>
          <w:sz w:val="28"/>
          <w:szCs w:val="28"/>
        </w:rPr>
        <w:t>15</w:t>
      </w:r>
      <w:r w:rsidRPr="00653C0B">
        <w:rPr>
          <w:sz w:val="28"/>
          <w:szCs w:val="28"/>
        </w:rPr>
        <w:t xml:space="preserve"> руб.</w:t>
      </w:r>
    </w:p>
    <w:p w:rsidR="00CA2F2C" w:rsidRPr="00653C0B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653C0B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653C0B">
        <w:rPr>
          <w:rFonts w:ascii="Times New Roman" w:hAnsi="Times New Roman" w:cs="Times New Roman"/>
          <w:sz w:val="28"/>
          <w:szCs w:val="28"/>
        </w:rPr>
        <w:t xml:space="preserve"> </w:t>
      </w:r>
      <w:r w:rsidR="00A44859" w:rsidRPr="00653C0B">
        <w:rPr>
          <w:rFonts w:ascii="Times New Roman" w:hAnsi="Times New Roman" w:cs="Times New Roman"/>
          <w:sz w:val="28"/>
          <w:szCs w:val="28"/>
        </w:rPr>
        <w:t xml:space="preserve">20 мая </w:t>
      </w:r>
      <w:r w:rsidRPr="00653C0B">
        <w:rPr>
          <w:rFonts w:ascii="Times New Roman" w:hAnsi="Times New Roman" w:cs="Times New Roman"/>
          <w:sz w:val="28"/>
          <w:szCs w:val="28"/>
        </w:rPr>
        <w:t>20</w:t>
      </w:r>
      <w:r w:rsidR="00CA1309" w:rsidRPr="00653C0B">
        <w:rPr>
          <w:rFonts w:ascii="Times New Roman" w:hAnsi="Times New Roman" w:cs="Times New Roman"/>
          <w:sz w:val="28"/>
          <w:szCs w:val="28"/>
        </w:rPr>
        <w:t>21</w:t>
      </w:r>
      <w:r w:rsidRPr="00653C0B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653C0B">
        <w:rPr>
          <w:rFonts w:ascii="Times New Roman" w:hAnsi="Times New Roman" w:cs="Times New Roman"/>
          <w:sz w:val="28"/>
          <w:szCs w:val="28"/>
        </w:rPr>
        <w:t>.</w:t>
      </w:r>
      <w:r w:rsidRPr="00653C0B">
        <w:rPr>
          <w:rFonts w:ascii="Times New Roman" w:hAnsi="Times New Roman" w:cs="Times New Roman"/>
          <w:sz w:val="28"/>
          <w:szCs w:val="28"/>
        </w:rPr>
        <w:t xml:space="preserve"> по </w:t>
      </w:r>
      <w:r w:rsidR="00A44859" w:rsidRPr="00653C0B">
        <w:rPr>
          <w:rFonts w:ascii="Times New Roman" w:hAnsi="Times New Roman" w:cs="Times New Roman"/>
          <w:sz w:val="28"/>
          <w:szCs w:val="28"/>
        </w:rPr>
        <w:t xml:space="preserve">3 июня </w:t>
      </w:r>
      <w:r w:rsidRPr="00653C0B">
        <w:rPr>
          <w:rFonts w:ascii="Times New Roman" w:hAnsi="Times New Roman" w:cs="Times New Roman"/>
          <w:sz w:val="28"/>
          <w:szCs w:val="28"/>
        </w:rPr>
        <w:t>20</w:t>
      </w:r>
      <w:r w:rsidR="00CA1309" w:rsidRPr="00653C0B">
        <w:rPr>
          <w:rFonts w:ascii="Times New Roman" w:hAnsi="Times New Roman" w:cs="Times New Roman"/>
          <w:sz w:val="28"/>
          <w:szCs w:val="28"/>
        </w:rPr>
        <w:t>21</w:t>
      </w:r>
      <w:r w:rsidRPr="00653C0B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653C0B">
        <w:rPr>
          <w:rFonts w:ascii="Times New Roman" w:hAnsi="Times New Roman" w:cs="Times New Roman"/>
          <w:sz w:val="28"/>
          <w:szCs w:val="28"/>
        </w:rPr>
        <w:t>.</w:t>
      </w:r>
    </w:p>
    <w:p w:rsidR="00A3304F" w:rsidRPr="00653C0B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C0B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8" w:history="1">
        <w:r w:rsidRPr="00653C0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653C0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653C0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653C0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653C0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653C0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653C0B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</w:t>
      </w:r>
      <w:r w:rsidRPr="00653C0B">
        <w:rPr>
          <w:rFonts w:ascii="Times New Roman" w:hAnsi="Times New Roman" w:cs="Times New Roman"/>
          <w:sz w:val="28"/>
          <w:szCs w:val="28"/>
        </w:rPr>
        <w:lastRenderedPageBreak/>
        <w:t>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653C0B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653C0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653C0B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653C0B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653C0B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653C0B">
        <w:rPr>
          <w:rFonts w:ascii="Times New Roman" w:hAnsi="Times New Roman"/>
          <w:sz w:val="28"/>
          <w:szCs w:val="28"/>
        </w:rPr>
        <w:t>п</w:t>
      </w:r>
      <w:r w:rsidRPr="00653C0B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653C0B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653C0B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B60E53" w:rsidRPr="008A1082" w:rsidRDefault="0019427D" w:rsidP="008A1082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53C0B">
        <w:rPr>
          <w:rFonts w:ascii="Times New Roman" w:hAnsi="Times New Roman"/>
          <w:sz w:val="28"/>
          <w:szCs w:val="28"/>
        </w:rPr>
        <w:t xml:space="preserve">    </w:t>
      </w:r>
      <w:r w:rsidR="008A1082" w:rsidRPr="00653C0B">
        <w:rPr>
          <w:rFonts w:ascii="Times New Roman" w:hAnsi="Times New Roman"/>
          <w:sz w:val="28"/>
          <w:szCs w:val="28"/>
        </w:rPr>
        <w:t>Н</w:t>
      </w:r>
      <w:r w:rsidR="00CB0376" w:rsidRPr="00653C0B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653C0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8A1082" w:rsidRDefault="00B60E53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и прогнозирования администрации </w:t>
      </w:r>
    </w:p>
    <w:p w:rsidR="00413578" w:rsidRPr="008A1082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 xml:space="preserve">муниципального образования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8A1082">
        <w:rPr>
          <w:sz w:val="28"/>
          <w:szCs w:val="28"/>
        </w:rPr>
        <w:t>Тимашевский район</w:t>
      </w:r>
      <w:r w:rsidR="005D0E45" w:rsidRPr="008A1082">
        <w:rPr>
          <w:sz w:val="28"/>
          <w:szCs w:val="28"/>
        </w:rPr>
        <w:t xml:space="preserve">                                                     </w:t>
      </w:r>
      <w:r w:rsidR="0093683A" w:rsidRPr="008A1082">
        <w:rPr>
          <w:sz w:val="28"/>
          <w:szCs w:val="28"/>
        </w:rPr>
        <w:t xml:space="preserve"> </w:t>
      </w:r>
      <w:r w:rsidR="00CA1309" w:rsidRPr="008A1082">
        <w:rPr>
          <w:sz w:val="28"/>
          <w:szCs w:val="28"/>
        </w:rPr>
        <w:t xml:space="preserve">       </w:t>
      </w:r>
      <w:r w:rsidR="0093683A" w:rsidRPr="008A1082">
        <w:rPr>
          <w:sz w:val="28"/>
          <w:szCs w:val="28"/>
        </w:rPr>
        <w:t xml:space="preserve"> </w:t>
      </w:r>
      <w:r w:rsidR="009C52A0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</w:t>
      </w:r>
      <w:r w:rsidR="00591E03" w:rsidRPr="008A1082">
        <w:rPr>
          <w:sz w:val="28"/>
          <w:szCs w:val="28"/>
        </w:rPr>
        <w:t xml:space="preserve">  </w:t>
      </w:r>
      <w:r w:rsidR="00114638" w:rsidRPr="008A1082">
        <w:rPr>
          <w:sz w:val="28"/>
          <w:szCs w:val="28"/>
        </w:rPr>
        <w:t xml:space="preserve">   </w:t>
      </w:r>
      <w:r w:rsidR="005D0E45" w:rsidRPr="008A1082">
        <w:rPr>
          <w:sz w:val="28"/>
          <w:szCs w:val="28"/>
        </w:rPr>
        <w:t xml:space="preserve">      </w:t>
      </w:r>
      <w:r w:rsidR="008A1082">
        <w:rPr>
          <w:sz w:val="28"/>
          <w:szCs w:val="28"/>
        </w:rPr>
        <w:t>Д.Ю. Гусев</w:t>
      </w:r>
    </w:p>
    <w:sectPr w:rsidR="00413578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15B" w:rsidRDefault="00D9115B" w:rsidP="00EA4018">
      <w:r>
        <w:separator/>
      </w:r>
    </w:p>
  </w:endnote>
  <w:endnote w:type="continuationSeparator" w:id="0">
    <w:p w:rsidR="00D9115B" w:rsidRDefault="00D9115B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15B" w:rsidRDefault="00D9115B" w:rsidP="00EA4018">
      <w:r>
        <w:separator/>
      </w:r>
    </w:p>
  </w:footnote>
  <w:footnote w:type="continuationSeparator" w:id="0">
    <w:p w:rsidR="00D9115B" w:rsidRDefault="00D9115B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B15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C6627"/>
    <w:rsid w:val="001D0054"/>
    <w:rsid w:val="001D2AB3"/>
    <w:rsid w:val="001D2CFD"/>
    <w:rsid w:val="001D395A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57AD"/>
    <w:rsid w:val="0038730A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8211D"/>
    <w:rsid w:val="00482E4E"/>
    <w:rsid w:val="0048373E"/>
    <w:rsid w:val="004858AC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0D8D"/>
    <w:rsid w:val="004F0E5F"/>
    <w:rsid w:val="004F179A"/>
    <w:rsid w:val="004F36FB"/>
    <w:rsid w:val="004F4BD2"/>
    <w:rsid w:val="004F6A51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317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7099"/>
    <w:rsid w:val="00853957"/>
    <w:rsid w:val="00857BFD"/>
    <w:rsid w:val="0086250E"/>
    <w:rsid w:val="00862DE3"/>
    <w:rsid w:val="008640F5"/>
    <w:rsid w:val="008656D0"/>
    <w:rsid w:val="00867A0F"/>
    <w:rsid w:val="008721A3"/>
    <w:rsid w:val="0087613C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3DB4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6B15"/>
    <w:rsid w:val="00CC7CB4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65D7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115B"/>
    <w:rsid w:val="00D93377"/>
    <w:rsid w:val="00D95A77"/>
    <w:rsid w:val="00DA0ECA"/>
    <w:rsid w:val="00DA0FF9"/>
    <w:rsid w:val="00DA5835"/>
    <w:rsid w:val="00DA667A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5557"/>
    <w:rsid w:val="00DE7B11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EE6A-EBDF-48EC-B0F2-CFFBA80D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6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1494</cp:revision>
  <cp:lastPrinted>2021-05-31T14:04:00Z</cp:lastPrinted>
  <dcterms:created xsi:type="dcterms:W3CDTF">2015-04-10T06:47:00Z</dcterms:created>
  <dcterms:modified xsi:type="dcterms:W3CDTF">2021-06-09T07:39:00Z</dcterms:modified>
</cp:coreProperties>
</file>