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12065</wp:posOffset>
                      </wp:positionV>
                      <wp:extent cx="916305" cy="295910"/>
                      <wp:effectExtent l="4445" t="127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7AF0" w:rsidRPr="00195C30" w:rsidRDefault="00167AF0" w:rsidP="00167AF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402.7pt;margin-top:.95pt;width:72.15pt;height:23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sXzQIAAL4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" filled="f" stroked="f">
                      <v:textbox style="mso-fit-shape-to-text:t">
                        <w:txbxContent>
                          <w:p w:rsidR="00167AF0" w:rsidRPr="00195C30" w:rsidRDefault="00167AF0" w:rsidP="00167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3E8D">
              <w:rPr>
                <w:color w:val="FF0000"/>
                <w:sz w:val="28"/>
              </w:rPr>
              <w:t xml:space="preserve">ПРО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453E8D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453E8D">
              <w:rPr>
                <w:b/>
                <w:sz w:val="28"/>
                <w:szCs w:val="28"/>
                <w:u w:val="single"/>
                <w:lang w:eastAsia="ru-RU"/>
              </w:rPr>
              <w:t xml:space="preserve">26.02.2020 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453E8D">
              <w:rPr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453E8D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r w:rsidRPr="00453E8D">
              <w:rPr>
                <w:sz w:val="28"/>
                <w:szCs w:val="28"/>
                <w:lang w:eastAsia="ru-RU"/>
              </w:rPr>
              <w:t xml:space="preserve">от </w:t>
            </w:r>
            <w:r w:rsidR="00453E8D">
              <w:rPr>
                <w:sz w:val="28"/>
                <w:szCs w:val="28"/>
                <w:u w:val="single"/>
                <w:lang w:eastAsia="ru-RU"/>
              </w:rPr>
              <w:t>26.02.2020</w:t>
            </w:r>
            <w:r w:rsidRPr="00453E8D">
              <w:rPr>
                <w:sz w:val="28"/>
                <w:szCs w:val="28"/>
                <w:lang w:eastAsia="ru-RU"/>
              </w:rPr>
              <w:t>______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      </w:t>
            </w:r>
            <w:r w:rsidRPr="00453E8D">
              <w:rPr>
                <w:sz w:val="28"/>
                <w:szCs w:val="28"/>
                <w:lang w:eastAsia="ru-RU"/>
              </w:rPr>
              <w:t xml:space="preserve">№ </w:t>
            </w:r>
            <w:r w:rsidR="00453E8D" w:rsidRPr="00453E8D">
              <w:rPr>
                <w:sz w:val="28"/>
                <w:szCs w:val="28"/>
                <w:u w:val="single"/>
                <w:lang w:eastAsia="ru-RU"/>
              </w:rPr>
              <w:t>502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453E8D" w:rsidRPr="00453E8D" w:rsidRDefault="00453E8D" w:rsidP="00453E8D">
      <w:pPr>
        <w:jc w:val="center"/>
        <w:rPr>
          <w:b/>
          <w:sz w:val="28"/>
          <w:szCs w:val="28"/>
        </w:rPr>
      </w:pPr>
      <w:r w:rsidRPr="00453E8D">
        <w:rPr>
          <w:b/>
          <w:bCs/>
          <w:sz w:val="28"/>
          <w:szCs w:val="28"/>
        </w:rPr>
        <w:t xml:space="preserve">О внесении изменений в решение </w:t>
      </w:r>
      <w:r w:rsidRPr="00453E8D">
        <w:rPr>
          <w:b/>
          <w:sz w:val="28"/>
          <w:szCs w:val="28"/>
        </w:rPr>
        <w:t>Совета муниципального</w:t>
      </w:r>
    </w:p>
    <w:p w:rsidR="00453E8D" w:rsidRPr="00453E8D" w:rsidRDefault="00453E8D" w:rsidP="00453E8D">
      <w:pPr>
        <w:jc w:val="center"/>
        <w:rPr>
          <w:b/>
          <w:bCs/>
          <w:sz w:val="28"/>
          <w:szCs w:val="28"/>
        </w:rPr>
      </w:pPr>
      <w:r w:rsidRPr="00453E8D">
        <w:rPr>
          <w:b/>
          <w:sz w:val="28"/>
          <w:szCs w:val="28"/>
        </w:rPr>
        <w:t xml:space="preserve">образования </w:t>
      </w:r>
      <w:proofErr w:type="spellStart"/>
      <w:r w:rsidRPr="00453E8D">
        <w:rPr>
          <w:b/>
          <w:sz w:val="28"/>
          <w:szCs w:val="28"/>
        </w:rPr>
        <w:t>Тимашевский</w:t>
      </w:r>
      <w:proofErr w:type="spellEnd"/>
      <w:r w:rsidRPr="00453E8D">
        <w:rPr>
          <w:b/>
          <w:sz w:val="28"/>
          <w:szCs w:val="28"/>
        </w:rPr>
        <w:t xml:space="preserve"> район от 26 апреля</w:t>
      </w:r>
      <w:r w:rsidRPr="00453E8D">
        <w:rPr>
          <w:b/>
          <w:bCs/>
          <w:sz w:val="28"/>
          <w:szCs w:val="28"/>
        </w:rPr>
        <w:t xml:space="preserve"> 2006 г. № 203</w:t>
      </w:r>
    </w:p>
    <w:p w:rsidR="00453E8D" w:rsidRPr="00453E8D" w:rsidRDefault="00453E8D" w:rsidP="00453E8D">
      <w:pPr>
        <w:jc w:val="center"/>
        <w:rPr>
          <w:bCs/>
          <w:sz w:val="28"/>
          <w:szCs w:val="28"/>
        </w:rPr>
      </w:pPr>
      <w:r w:rsidRPr="00453E8D">
        <w:rPr>
          <w:b/>
          <w:bCs/>
          <w:sz w:val="28"/>
          <w:szCs w:val="28"/>
        </w:rPr>
        <w:t xml:space="preserve">«О согласовании перечней имущества, передаваемого в муниципальную собственность городского и сельских поселений </w:t>
      </w:r>
      <w:proofErr w:type="spellStart"/>
      <w:r w:rsidRPr="00453E8D">
        <w:rPr>
          <w:b/>
          <w:bCs/>
          <w:sz w:val="28"/>
          <w:szCs w:val="28"/>
        </w:rPr>
        <w:t>Тимашевского</w:t>
      </w:r>
      <w:proofErr w:type="spellEnd"/>
      <w:r w:rsidRPr="00453E8D">
        <w:rPr>
          <w:b/>
          <w:bCs/>
          <w:sz w:val="28"/>
          <w:szCs w:val="28"/>
        </w:rPr>
        <w:t xml:space="preserve"> района     на безвозмездной основе»</w:t>
      </w:r>
    </w:p>
    <w:p w:rsidR="00453E8D" w:rsidRPr="00453E8D" w:rsidRDefault="00453E8D" w:rsidP="00453E8D">
      <w:pPr>
        <w:rPr>
          <w:bCs/>
          <w:sz w:val="28"/>
          <w:szCs w:val="28"/>
        </w:rPr>
      </w:pPr>
    </w:p>
    <w:p w:rsidR="00453E8D" w:rsidRPr="00453E8D" w:rsidRDefault="00453E8D" w:rsidP="00453E8D">
      <w:pPr>
        <w:rPr>
          <w:bCs/>
          <w:sz w:val="28"/>
          <w:szCs w:val="28"/>
        </w:rPr>
      </w:pPr>
    </w:p>
    <w:p w:rsidR="00453E8D" w:rsidRPr="00453E8D" w:rsidRDefault="00453E8D" w:rsidP="00453E8D">
      <w:pPr>
        <w:ind w:firstLine="709"/>
        <w:jc w:val="both"/>
        <w:rPr>
          <w:sz w:val="28"/>
          <w:szCs w:val="28"/>
          <w:lang w:val="x-none"/>
        </w:rPr>
      </w:pPr>
      <w:r w:rsidRPr="00453E8D">
        <w:rPr>
          <w:sz w:val="28"/>
          <w:szCs w:val="28"/>
          <w:lang w:val="x-none"/>
        </w:rPr>
        <w:t>Руководствуясь статьями 15, 50 Фе</w:t>
      </w:r>
      <w:r>
        <w:rPr>
          <w:sz w:val="28"/>
          <w:szCs w:val="28"/>
          <w:lang w:val="x-none"/>
        </w:rPr>
        <w:t xml:space="preserve">дерального закона от 6 октября </w:t>
      </w:r>
      <w:r w:rsidRPr="00453E8D">
        <w:rPr>
          <w:sz w:val="28"/>
          <w:szCs w:val="28"/>
          <w:lang w:val="x-none"/>
        </w:rPr>
        <w:t>2003 г</w:t>
      </w:r>
      <w:r w:rsidRPr="00453E8D">
        <w:rPr>
          <w:sz w:val="28"/>
          <w:szCs w:val="28"/>
        </w:rPr>
        <w:t>.</w:t>
      </w:r>
      <w:r w:rsidRPr="00453E8D">
        <w:rPr>
          <w:sz w:val="28"/>
          <w:szCs w:val="28"/>
          <w:lang w:val="x-none"/>
        </w:rPr>
        <w:t xml:space="preserve"> </w:t>
      </w:r>
      <w:r>
        <w:rPr>
          <w:sz w:val="28"/>
          <w:szCs w:val="28"/>
        </w:rPr>
        <w:t xml:space="preserve">№ </w:t>
      </w:r>
      <w:r w:rsidRPr="00453E8D">
        <w:rPr>
          <w:sz w:val="28"/>
          <w:szCs w:val="28"/>
          <w:lang w:val="x-none"/>
        </w:rPr>
        <w:t>131-ФЗ «Об общих принципах организации местного самоуправления в Российской Федерации», Законом Краснодарского края от 13 ноября                  2006 г</w:t>
      </w:r>
      <w:r w:rsidRPr="00453E8D">
        <w:rPr>
          <w:sz w:val="28"/>
          <w:szCs w:val="28"/>
        </w:rPr>
        <w:t>.</w:t>
      </w:r>
      <w:r w:rsidRPr="00453E8D">
        <w:rPr>
          <w:sz w:val="28"/>
          <w:szCs w:val="28"/>
          <w:lang w:val="x-none"/>
        </w:rPr>
        <w:t xml:space="preserve"> № 1114-КЗ «О разграничении имущества, находящегося в собственности муниципального образования </w:t>
      </w:r>
      <w:proofErr w:type="spellStart"/>
      <w:r w:rsidRPr="00453E8D">
        <w:rPr>
          <w:sz w:val="28"/>
          <w:szCs w:val="28"/>
          <w:lang w:val="x-none"/>
        </w:rPr>
        <w:t>Тимашевский</w:t>
      </w:r>
      <w:proofErr w:type="spellEnd"/>
      <w:r w:rsidRPr="00453E8D">
        <w:rPr>
          <w:sz w:val="28"/>
          <w:szCs w:val="28"/>
          <w:lang w:val="x-none"/>
        </w:rPr>
        <w:t xml:space="preserve"> район, между вновь образованными городским, сельским</w:t>
      </w:r>
      <w:r w:rsidRPr="00453E8D">
        <w:rPr>
          <w:sz w:val="28"/>
          <w:szCs w:val="28"/>
        </w:rPr>
        <w:t>и</w:t>
      </w:r>
      <w:r w:rsidRPr="00453E8D">
        <w:rPr>
          <w:sz w:val="28"/>
          <w:szCs w:val="28"/>
          <w:lang w:val="x-none"/>
        </w:rPr>
        <w:t xml:space="preserve"> поселениями и муниципальным образованием </w:t>
      </w:r>
      <w:proofErr w:type="spellStart"/>
      <w:r w:rsidRPr="00453E8D">
        <w:rPr>
          <w:sz w:val="28"/>
          <w:szCs w:val="28"/>
          <w:lang w:val="x-none"/>
        </w:rPr>
        <w:t>Тимашевский</w:t>
      </w:r>
      <w:proofErr w:type="spellEnd"/>
      <w:r w:rsidRPr="00453E8D">
        <w:rPr>
          <w:sz w:val="28"/>
          <w:szCs w:val="28"/>
          <w:lang w:val="x-none"/>
        </w:rPr>
        <w:t xml:space="preserve"> район, в состав которого они входят», стать</w:t>
      </w:r>
      <w:r w:rsidRPr="00453E8D">
        <w:rPr>
          <w:sz w:val="28"/>
          <w:szCs w:val="28"/>
        </w:rPr>
        <w:t xml:space="preserve">ей              </w:t>
      </w:r>
      <w:r w:rsidRPr="00453E8D">
        <w:rPr>
          <w:sz w:val="28"/>
          <w:szCs w:val="28"/>
          <w:lang w:val="x-none"/>
        </w:rPr>
        <w:t>2</w:t>
      </w:r>
      <w:r w:rsidRPr="00453E8D">
        <w:rPr>
          <w:sz w:val="28"/>
          <w:szCs w:val="28"/>
        </w:rPr>
        <w:t xml:space="preserve">5 </w:t>
      </w:r>
      <w:r w:rsidRPr="00453E8D">
        <w:rPr>
          <w:sz w:val="28"/>
          <w:szCs w:val="28"/>
          <w:lang w:val="x-none"/>
        </w:rPr>
        <w:t xml:space="preserve">Устава муниципального образования </w:t>
      </w:r>
      <w:proofErr w:type="spellStart"/>
      <w:r w:rsidRPr="00453E8D">
        <w:rPr>
          <w:sz w:val="28"/>
          <w:szCs w:val="28"/>
          <w:lang w:val="x-none"/>
        </w:rPr>
        <w:t>Тимашевский</w:t>
      </w:r>
      <w:proofErr w:type="spellEnd"/>
      <w:r w:rsidRPr="00453E8D">
        <w:rPr>
          <w:sz w:val="28"/>
          <w:szCs w:val="28"/>
          <w:lang w:val="x-none"/>
        </w:rPr>
        <w:t xml:space="preserve"> район</w:t>
      </w:r>
      <w:r w:rsidRPr="00453E8D">
        <w:rPr>
          <w:sz w:val="28"/>
          <w:szCs w:val="28"/>
        </w:rPr>
        <w:t xml:space="preserve">, рассмотрев обращение главы Поселкового сельского поселения </w:t>
      </w:r>
      <w:proofErr w:type="spellStart"/>
      <w:r w:rsidRPr="00453E8D">
        <w:rPr>
          <w:sz w:val="28"/>
          <w:szCs w:val="28"/>
        </w:rPr>
        <w:t>Тимашевского</w:t>
      </w:r>
      <w:proofErr w:type="spellEnd"/>
      <w:r w:rsidRPr="00453E8D">
        <w:rPr>
          <w:sz w:val="28"/>
          <w:szCs w:val="28"/>
        </w:rPr>
        <w:t xml:space="preserve"> района                от 28 января 2020 г. № 141-103/20-33, </w:t>
      </w:r>
      <w:r w:rsidRPr="00453E8D">
        <w:rPr>
          <w:sz w:val="28"/>
          <w:szCs w:val="28"/>
          <w:lang w:val="x-none"/>
        </w:rPr>
        <w:t xml:space="preserve">Совет муниципального образования </w:t>
      </w:r>
      <w:proofErr w:type="spellStart"/>
      <w:r w:rsidRPr="00453E8D">
        <w:rPr>
          <w:sz w:val="28"/>
          <w:szCs w:val="28"/>
          <w:lang w:val="x-none"/>
        </w:rPr>
        <w:t>Тимашевский</w:t>
      </w:r>
      <w:proofErr w:type="spellEnd"/>
      <w:r w:rsidRPr="00453E8D">
        <w:rPr>
          <w:sz w:val="28"/>
          <w:szCs w:val="28"/>
          <w:lang w:val="x-none"/>
        </w:rPr>
        <w:t xml:space="preserve"> район р е ш и л:</w:t>
      </w:r>
    </w:p>
    <w:p w:rsidR="00453E8D" w:rsidRPr="00453E8D" w:rsidRDefault="00453E8D" w:rsidP="00453E8D">
      <w:pPr>
        <w:ind w:firstLine="709"/>
        <w:jc w:val="both"/>
        <w:rPr>
          <w:bCs/>
          <w:sz w:val="28"/>
          <w:szCs w:val="28"/>
        </w:rPr>
      </w:pPr>
      <w:r w:rsidRPr="00453E8D">
        <w:rPr>
          <w:bCs/>
          <w:sz w:val="28"/>
          <w:szCs w:val="28"/>
        </w:rPr>
        <w:t xml:space="preserve">1. Внести изменения в решение Совета муниципального </w:t>
      </w:r>
      <w:proofErr w:type="gramStart"/>
      <w:r w:rsidRPr="00453E8D">
        <w:rPr>
          <w:bCs/>
          <w:sz w:val="28"/>
          <w:szCs w:val="28"/>
        </w:rPr>
        <w:t xml:space="preserve">образования  </w:t>
      </w:r>
      <w:proofErr w:type="spellStart"/>
      <w:r w:rsidRPr="00453E8D">
        <w:rPr>
          <w:bCs/>
          <w:sz w:val="28"/>
          <w:szCs w:val="28"/>
        </w:rPr>
        <w:t>Тимашевский</w:t>
      </w:r>
      <w:proofErr w:type="spellEnd"/>
      <w:proofErr w:type="gramEnd"/>
      <w:r w:rsidRPr="00453E8D">
        <w:rPr>
          <w:bCs/>
          <w:sz w:val="28"/>
          <w:szCs w:val="28"/>
        </w:rPr>
        <w:t xml:space="preserve"> район от 26 апреля 2006 г. № 203 «О согласовании перечней имущества, передаваемого в муниципальную собственность городского и сельских поселений </w:t>
      </w:r>
      <w:proofErr w:type="spellStart"/>
      <w:r w:rsidRPr="00453E8D">
        <w:rPr>
          <w:bCs/>
          <w:sz w:val="28"/>
          <w:szCs w:val="28"/>
        </w:rPr>
        <w:t>Тимашевского</w:t>
      </w:r>
      <w:proofErr w:type="spellEnd"/>
      <w:r w:rsidRPr="00453E8D">
        <w:rPr>
          <w:bCs/>
          <w:sz w:val="28"/>
          <w:szCs w:val="28"/>
        </w:rPr>
        <w:t xml:space="preserve"> района на безвозмездной основе», изложив подпункты 1-3 пункта 2 раздела 3 приложения № 9 к решению в новой редакции:</w:t>
      </w:r>
    </w:p>
    <w:p w:rsidR="00453E8D" w:rsidRPr="00453E8D" w:rsidRDefault="00453E8D" w:rsidP="00453E8D">
      <w:pPr>
        <w:rPr>
          <w:bCs/>
        </w:rPr>
      </w:pPr>
      <w:r w:rsidRPr="00453E8D">
        <w:rPr>
          <w:bCs/>
        </w:rPr>
        <w:t>«</w:t>
      </w:r>
    </w:p>
    <w:tbl>
      <w:tblPr>
        <w:tblpPr w:leftFromText="180" w:rightFromText="180" w:vertAnchor="text" w:horzAnchor="margin" w:tblpY="14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513"/>
        <w:gridCol w:w="567"/>
        <w:gridCol w:w="567"/>
        <w:gridCol w:w="567"/>
        <w:gridCol w:w="2551"/>
        <w:gridCol w:w="2693"/>
        <w:gridCol w:w="586"/>
        <w:gridCol w:w="548"/>
        <w:gridCol w:w="567"/>
      </w:tblGrid>
      <w:tr w:rsidR="00453E8D" w:rsidRPr="00453E8D" w:rsidTr="00031281">
        <w:trPr>
          <w:cantSplit/>
          <w:trHeight w:val="694"/>
        </w:trPr>
        <w:tc>
          <w:tcPr>
            <w:tcW w:w="9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rPr>
                <w:bCs/>
              </w:rPr>
              <w:t>Имущество, предназначенное для организации защиты населения и территории поселения от чрезвычайных ситуаций природного и техногенного характера:</w:t>
            </w:r>
          </w:p>
        </w:tc>
      </w:tr>
      <w:tr w:rsidR="00453E8D" w:rsidRPr="00453E8D" w:rsidTr="00031281">
        <w:trPr>
          <w:cantSplit/>
          <w:trHeight w:val="1263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lastRenderedPageBreak/>
              <w:t>1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t xml:space="preserve">Сооружения - дамба ГТС № 239, площадью застройки </w:t>
            </w:r>
          </w:p>
          <w:p w:rsidR="00453E8D" w:rsidRPr="00453E8D" w:rsidRDefault="00453E8D" w:rsidP="00453E8D">
            <w:r w:rsidRPr="00453E8D">
              <w:t>296 кв. 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 xml:space="preserve">Краснодарский край, </w:t>
            </w:r>
          </w:p>
          <w:p w:rsidR="00453E8D" w:rsidRPr="00453E8D" w:rsidRDefault="00453E8D" w:rsidP="00453E8D">
            <w:proofErr w:type="spellStart"/>
            <w:r w:rsidRPr="00453E8D">
              <w:t>Тимашевский</w:t>
            </w:r>
            <w:proofErr w:type="spellEnd"/>
            <w:r w:rsidRPr="00453E8D">
              <w:t xml:space="preserve"> район, в границах ЗАО АФ «</w:t>
            </w:r>
            <w:proofErr w:type="spellStart"/>
            <w:r w:rsidRPr="00453E8D">
              <w:t>Красносельская</w:t>
            </w:r>
            <w:proofErr w:type="spellEnd"/>
            <w:r w:rsidRPr="00453E8D">
              <w:t>», секция 13, контур 40, ГТС № 239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</w:tr>
      <w:tr w:rsidR="00453E8D" w:rsidRPr="00453E8D" w:rsidTr="00031281">
        <w:trPr>
          <w:cantSplit/>
          <w:trHeight w:val="1263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t>2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t>Сооружения - дамба ГТС № 241/1, площадью застройки 2807 кв. 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 xml:space="preserve">Краснодарский край, </w:t>
            </w:r>
          </w:p>
          <w:p w:rsidR="00453E8D" w:rsidRPr="00453E8D" w:rsidRDefault="00453E8D" w:rsidP="00453E8D">
            <w:proofErr w:type="spellStart"/>
            <w:r w:rsidRPr="00453E8D">
              <w:t>Тимашевский</w:t>
            </w:r>
            <w:proofErr w:type="spellEnd"/>
            <w:r w:rsidRPr="00453E8D">
              <w:t xml:space="preserve"> район, в границах ЗАО АФ «</w:t>
            </w:r>
            <w:proofErr w:type="spellStart"/>
            <w:r w:rsidRPr="00453E8D">
              <w:t>Красносельская</w:t>
            </w:r>
            <w:proofErr w:type="spellEnd"/>
            <w:r w:rsidRPr="00453E8D">
              <w:t>», секция 13, контур 40, ГТС № 241/1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</w:tr>
      <w:tr w:rsidR="00453E8D" w:rsidRPr="00453E8D" w:rsidTr="00031281">
        <w:trPr>
          <w:cantSplit/>
          <w:trHeight w:val="1263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t>3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8D" w:rsidRPr="00453E8D" w:rsidRDefault="00453E8D" w:rsidP="00453E8D">
            <w:r w:rsidRPr="00453E8D">
              <w:t>Сооружения - дамба ГТС № 242, площадью застройки 8717 кв. 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 xml:space="preserve">Краснодарский край, </w:t>
            </w:r>
          </w:p>
          <w:p w:rsidR="00453E8D" w:rsidRPr="00453E8D" w:rsidRDefault="00453E8D" w:rsidP="00453E8D">
            <w:proofErr w:type="spellStart"/>
            <w:r w:rsidRPr="00453E8D">
              <w:t>Тимашевский</w:t>
            </w:r>
            <w:proofErr w:type="spellEnd"/>
            <w:r w:rsidRPr="00453E8D">
              <w:t xml:space="preserve"> район, в границах ЗАО АФ «</w:t>
            </w:r>
            <w:proofErr w:type="spellStart"/>
            <w:r w:rsidRPr="00453E8D">
              <w:t>Красносельская</w:t>
            </w:r>
            <w:proofErr w:type="spellEnd"/>
            <w:r w:rsidRPr="00453E8D">
              <w:t>», секция 2, контур 78, ГТС № 242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>
            <w:r w:rsidRPr="00453E8D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8D" w:rsidRPr="00453E8D" w:rsidRDefault="00453E8D" w:rsidP="00453E8D"/>
        </w:tc>
      </w:tr>
    </w:tbl>
    <w:p w:rsidR="00453E8D" w:rsidRPr="00453E8D" w:rsidRDefault="00453E8D" w:rsidP="00453E8D">
      <w:pPr>
        <w:rPr>
          <w:bCs/>
        </w:rPr>
      </w:pPr>
      <w:r w:rsidRPr="00453E8D">
        <w:rPr>
          <w:bCs/>
        </w:rPr>
        <w:t>».</w:t>
      </w:r>
    </w:p>
    <w:p w:rsidR="00453E8D" w:rsidRPr="00453E8D" w:rsidRDefault="00453E8D" w:rsidP="00453E8D">
      <w:pPr>
        <w:ind w:firstLine="709"/>
        <w:jc w:val="both"/>
        <w:rPr>
          <w:bCs/>
          <w:sz w:val="28"/>
          <w:szCs w:val="28"/>
        </w:rPr>
      </w:pPr>
      <w:r w:rsidRPr="00453E8D">
        <w:rPr>
          <w:sz w:val="28"/>
          <w:szCs w:val="28"/>
        </w:rPr>
        <w:t xml:space="preserve">2. Признать утратившим силу решение </w:t>
      </w:r>
      <w:r w:rsidRPr="00453E8D">
        <w:rPr>
          <w:bCs/>
          <w:sz w:val="28"/>
          <w:szCs w:val="28"/>
        </w:rPr>
        <w:t xml:space="preserve">Совета муниципального образования </w:t>
      </w:r>
      <w:proofErr w:type="spellStart"/>
      <w:r w:rsidRPr="00453E8D">
        <w:rPr>
          <w:bCs/>
          <w:sz w:val="28"/>
          <w:szCs w:val="28"/>
        </w:rPr>
        <w:t>Тимашевский</w:t>
      </w:r>
      <w:proofErr w:type="spellEnd"/>
      <w:r w:rsidRPr="00453E8D">
        <w:rPr>
          <w:bCs/>
          <w:sz w:val="28"/>
          <w:szCs w:val="28"/>
        </w:rPr>
        <w:t xml:space="preserve"> район от 30 октября 2019 г. № 456 «О внесении изменений в решение </w:t>
      </w:r>
      <w:r w:rsidRPr="00453E8D">
        <w:rPr>
          <w:sz w:val="28"/>
          <w:szCs w:val="28"/>
        </w:rPr>
        <w:t xml:space="preserve">Совета муниципального образования </w:t>
      </w:r>
      <w:proofErr w:type="spellStart"/>
      <w:r w:rsidRPr="00453E8D">
        <w:rPr>
          <w:sz w:val="28"/>
          <w:szCs w:val="28"/>
        </w:rPr>
        <w:t>Тимашевский</w:t>
      </w:r>
      <w:proofErr w:type="spellEnd"/>
      <w:r w:rsidRPr="00453E8D">
        <w:rPr>
          <w:sz w:val="28"/>
          <w:szCs w:val="28"/>
        </w:rPr>
        <w:t xml:space="preserve"> район от 26 апреля</w:t>
      </w:r>
      <w:r w:rsidRPr="00453E8D">
        <w:rPr>
          <w:bCs/>
          <w:sz w:val="28"/>
          <w:szCs w:val="28"/>
        </w:rPr>
        <w:t xml:space="preserve"> 2006 г. № 203 «О согласовании перечней имущества, передаваемого в муниципальную собственность городского и сельских по</w:t>
      </w:r>
      <w:r>
        <w:rPr>
          <w:bCs/>
          <w:sz w:val="28"/>
          <w:szCs w:val="28"/>
        </w:rPr>
        <w:t xml:space="preserve">селений </w:t>
      </w:r>
      <w:proofErr w:type="spellStart"/>
      <w:r>
        <w:rPr>
          <w:bCs/>
          <w:sz w:val="28"/>
          <w:szCs w:val="28"/>
        </w:rPr>
        <w:t>Тимашевского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453E8D">
        <w:rPr>
          <w:bCs/>
          <w:sz w:val="28"/>
          <w:szCs w:val="28"/>
        </w:rPr>
        <w:t>на безвозмездной основе».</w:t>
      </w:r>
    </w:p>
    <w:p w:rsidR="00453E8D" w:rsidRPr="00453E8D" w:rsidRDefault="00453E8D" w:rsidP="00453E8D">
      <w:pPr>
        <w:ind w:firstLine="709"/>
        <w:jc w:val="both"/>
        <w:rPr>
          <w:sz w:val="28"/>
          <w:szCs w:val="28"/>
        </w:rPr>
      </w:pPr>
      <w:r w:rsidRPr="00453E8D">
        <w:rPr>
          <w:sz w:val="28"/>
          <w:szCs w:val="28"/>
        </w:rPr>
        <w:t xml:space="preserve">3. Отделу информационных технологий администрации муниципального образования </w:t>
      </w:r>
      <w:proofErr w:type="spellStart"/>
      <w:r w:rsidRPr="00453E8D">
        <w:rPr>
          <w:sz w:val="28"/>
          <w:szCs w:val="28"/>
        </w:rPr>
        <w:t>Тимашевский</w:t>
      </w:r>
      <w:proofErr w:type="spellEnd"/>
      <w:r w:rsidRPr="00453E8D">
        <w:rPr>
          <w:sz w:val="28"/>
          <w:szCs w:val="28"/>
        </w:rPr>
        <w:t xml:space="preserve"> район (</w:t>
      </w:r>
      <w:proofErr w:type="spellStart"/>
      <w:r w:rsidRPr="00453E8D">
        <w:rPr>
          <w:sz w:val="28"/>
          <w:szCs w:val="28"/>
        </w:rPr>
        <w:t>Мирончук</w:t>
      </w:r>
      <w:proofErr w:type="spellEnd"/>
      <w:r w:rsidRPr="00453E8D">
        <w:rPr>
          <w:sz w:val="28"/>
          <w:szCs w:val="28"/>
        </w:rPr>
        <w:t xml:space="preserve"> А.В.) обеспечить размещение настоящего решение на официальном сайте муниципального образования </w:t>
      </w:r>
      <w:proofErr w:type="spellStart"/>
      <w:r w:rsidRPr="00453E8D">
        <w:rPr>
          <w:sz w:val="28"/>
          <w:szCs w:val="28"/>
        </w:rPr>
        <w:t>Тимашевский</w:t>
      </w:r>
      <w:proofErr w:type="spellEnd"/>
      <w:r w:rsidRPr="00453E8D">
        <w:rPr>
          <w:sz w:val="28"/>
          <w:szCs w:val="28"/>
        </w:rPr>
        <w:t xml:space="preserve"> район в информационно-телекоммуникационной сети «Интерне».</w:t>
      </w:r>
    </w:p>
    <w:p w:rsidR="00453E8D" w:rsidRPr="00453E8D" w:rsidRDefault="00453E8D" w:rsidP="00453E8D">
      <w:pPr>
        <w:ind w:firstLine="709"/>
        <w:jc w:val="both"/>
        <w:rPr>
          <w:sz w:val="28"/>
          <w:szCs w:val="28"/>
        </w:rPr>
      </w:pPr>
      <w:r w:rsidRPr="00453E8D">
        <w:rPr>
          <w:sz w:val="28"/>
          <w:szCs w:val="28"/>
        </w:rPr>
        <w:t>4. Решение вступает в силу со дня его подписания.</w:t>
      </w:r>
    </w:p>
    <w:p w:rsidR="00453E8D" w:rsidRPr="00453E8D" w:rsidRDefault="00453E8D" w:rsidP="00453E8D">
      <w:pPr>
        <w:ind w:firstLine="709"/>
        <w:jc w:val="both"/>
        <w:rPr>
          <w:bCs/>
          <w:sz w:val="28"/>
          <w:szCs w:val="28"/>
        </w:rPr>
      </w:pPr>
    </w:p>
    <w:p w:rsidR="00453E8D" w:rsidRPr="00453E8D" w:rsidRDefault="00453E8D" w:rsidP="00453E8D">
      <w:pPr>
        <w:ind w:firstLine="709"/>
        <w:jc w:val="both"/>
        <w:rPr>
          <w:bCs/>
          <w:sz w:val="28"/>
          <w:szCs w:val="28"/>
        </w:rPr>
      </w:pPr>
    </w:p>
    <w:p w:rsidR="00453E8D" w:rsidRPr="00453E8D" w:rsidRDefault="00453E8D" w:rsidP="00453E8D">
      <w:pPr>
        <w:ind w:firstLine="709"/>
        <w:jc w:val="both"/>
        <w:rPr>
          <w:bCs/>
          <w:sz w:val="28"/>
          <w:szCs w:val="28"/>
        </w:rPr>
      </w:pPr>
    </w:p>
    <w:p w:rsidR="00453E8D" w:rsidRPr="00453E8D" w:rsidRDefault="00453E8D" w:rsidP="00453E8D">
      <w:pPr>
        <w:jc w:val="both"/>
        <w:rPr>
          <w:sz w:val="28"/>
          <w:szCs w:val="28"/>
        </w:rPr>
      </w:pPr>
      <w:r w:rsidRPr="00453E8D">
        <w:rPr>
          <w:sz w:val="28"/>
          <w:szCs w:val="28"/>
        </w:rPr>
        <w:t xml:space="preserve">Председатель Совета муниципального </w:t>
      </w:r>
    </w:p>
    <w:p w:rsidR="00453E8D" w:rsidRPr="00453E8D" w:rsidRDefault="00453E8D" w:rsidP="00453E8D">
      <w:pPr>
        <w:jc w:val="both"/>
        <w:rPr>
          <w:bCs/>
          <w:sz w:val="28"/>
          <w:szCs w:val="28"/>
        </w:rPr>
      </w:pPr>
      <w:r w:rsidRPr="00453E8D">
        <w:rPr>
          <w:bCs/>
          <w:sz w:val="28"/>
          <w:szCs w:val="28"/>
        </w:rPr>
        <w:t xml:space="preserve">образования </w:t>
      </w:r>
      <w:proofErr w:type="spellStart"/>
      <w:r w:rsidRPr="00453E8D">
        <w:rPr>
          <w:bCs/>
          <w:sz w:val="28"/>
          <w:szCs w:val="28"/>
        </w:rPr>
        <w:t>Тимашевский</w:t>
      </w:r>
      <w:proofErr w:type="spellEnd"/>
      <w:r w:rsidRPr="00453E8D">
        <w:rPr>
          <w:bCs/>
          <w:sz w:val="28"/>
          <w:szCs w:val="28"/>
        </w:rPr>
        <w:t xml:space="preserve"> район                                                    А.М. Устименко</w:t>
      </w:r>
    </w:p>
    <w:p w:rsidR="00223B4F" w:rsidRDefault="00223B4F"/>
    <w:sectPr w:rsidR="0022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45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162E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3</cp:revision>
  <dcterms:created xsi:type="dcterms:W3CDTF">2016-09-06T08:36:00Z</dcterms:created>
  <dcterms:modified xsi:type="dcterms:W3CDTF">2020-03-10T09:57:00Z</dcterms:modified>
</cp:coreProperties>
</file>