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DC1CB3" w:rsidRPr="00102C39" w:rsidTr="00DC1CB3">
        <w:tc>
          <w:tcPr>
            <w:tcW w:w="9828" w:type="dxa"/>
          </w:tcPr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к приказу финансового управления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763D">
              <w:rPr>
                <w:rFonts w:ascii="Times New Roman" w:hAnsi="Times New Roman" w:cs="Times New Roman"/>
                <w:sz w:val="28"/>
                <w:szCs w:val="28"/>
              </w:rPr>
              <w:t xml:space="preserve">17.04.2019 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4763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от 25 декабря 2018 г.  № 49</w:t>
            </w:r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DC1CB3" w:rsidRPr="00DC1CB3" w:rsidRDefault="0014763D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17.04.2019 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23D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Pr="00102C39" w:rsidRDefault="00DC1CB3" w:rsidP="00E454E2">
            <w:pPr>
              <w:ind w:left="-29" w:right="-5" w:firstLine="29"/>
              <w:rPr>
                <w:sz w:val="28"/>
                <w:szCs w:val="28"/>
              </w:rPr>
            </w:pPr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</w:t>
      </w:r>
      <w:r w:rsidR="006A64D0" w:rsidRPr="00162C24">
        <w:rPr>
          <w:rFonts w:ascii="Times New Roman" w:hAnsi="Times New Roman" w:cs="Times New Roman"/>
          <w:sz w:val="28"/>
          <w:szCs w:val="28"/>
        </w:rPr>
        <w:t>у</w:t>
      </w:r>
      <w:r w:rsidR="006A64D0" w:rsidRPr="00162C24">
        <w:rPr>
          <w:rFonts w:ascii="Times New Roman" w:hAnsi="Times New Roman" w:cs="Times New Roman"/>
          <w:sz w:val="28"/>
          <w:szCs w:val="28"/>
        </w:rPr>
        <w:t>ществляется за счет иных межбюджетных трансфертов, имеющих целевое назначение, из районного бюджета;</w:t>
      </w:r>
    </w:p>
    <w:p w:rsidR="003C0A8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8A0795">
        <w:rPr>
          <w:rFonts w:ascii="Times New Roman" w:hAnsi="Times New Roman" w:cs="Times New Roman"/>
          <w:sz w:val="28"/>
          <w:szCs w:val="28"/>
        </w:rPr>
        <w:t>8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8A0795">
        <w:rPr>
          <w:rFonts w:ascii="Times New Roman" w:hAnsi="Times New Roman" w:cs="Times New Roman"/>
          <w:sz w:val="28"/>
          <w:szCs w:val="28"/>
        </w:rPr>
        <w:t>8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8A0795">
        <w:rPr>
          <w:rFonts w:ascii="Times New Roman" w:hAnsi="Times New Roman" w:cs="Times New Roman"/>
          <w:sz w:val="28"/>
          <w:szCs w:val="28"/>
        </w:rPr>
        <w:t>132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AB5A2D" w:rsidRPr="00AB5A2D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</w:t>
      </w:r>
      <w:r w:rsidR="00AB5A2D" w:rsidRPr="00AB5A2D">
        <w:rPr>
          <w:rFonts w:ascii="Times New Roman" w:hAnsi="Times New Roman" w:cs="Times New Roman"/>
          <w:sz w:val="28"/>
          <w:szCs w:val="28"/>
        </w:rPr>
        <w:t>с</w:t>
      </w:r>
      <w:r w:rsidR="00AB5A2D" w:rsidRPr="00AB5A2D">
        <w:rPr>
          <w:rFonts w:ascii="Times New Roman" w:hAnsi="Times New Roman" w:cs="Times New Roman"/>
          <w:sz w:val="28"/>
          <w:szCs w:val="28"/>
        </w:rPr>
        <w:t>сийской Федерации, их структуре и принципах назначения</w:t>
      </w:r>
      <w:r w:rsidR="002B1248" w:rsidRPr="00162C24">
        <w:rPr>
          <w:rFonts w:ascii="Times New Roman" w:hAnsi="Times New Roman" w:cs="Times New Roman"/>
          <w:sz w:val="28"/>
          <w:szCs w:val="28"/>
        </w:rPr>
        <w:t>».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A97DBD" w:rsidRPr="00162C24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454E2">
        <w:rPr>
          <w:rFonts w:ascii="Times New Roman" w:hAnsi="Times New Roman" w:cs="Times New Roman"/>
          <w:sz w:val="28"/>
          <w:szCs w:val="28"/>
        </w:rPr>
        <w:t xml:space="preserve">. 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 xml:space="preserve">основного мероприятия муниципальных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>для наим</w:t>
      </w:r>
      <w:r w:rsidR="0030337D">
        <w:rPr>
          <w:rFonts w:ascii="Times New Roman" w:hAnsi="Times New Roman" w:cs="Times New Roman"/>
          <w:sz w:val="28"/>
          <w:szCs w:val="28"/>
        </w:rPr>
        <w:t>е</w:t>
      </w:r>
      <w:r w:rsidR="0030337D">
        <w:rPr>
          <w:rFonts w:ascii="Times New Roman" w:hAnsi="Times New Roman" w:cs="Times New Roman"/>
          <w:sz w:val="28"/>
          <w:szCs w:val="28"/>
        </w:rPr>
        <w:t xml:space="preserve">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(подпрограммы)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Pr="00344EF2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Б, В, Г, Д, 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 С, 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 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AF5783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AF5783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AF5783">
        <w:rPr>
          <w:rFonts w:ascii="Times New Roman" w:hAnsi="Times New Roman" w:cs="Times New Roman"/>
          <w:sz w:val="28"/>
          <w:szCs w:val="28"/>
        </w:rPr>
        <w:t>132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», установлен в разделе 3 настоящего П</w:t>
      </w:r>
      <w:r w:rsidR="00F92E3E" w:rsidRPr="00162C24">
        <w:rPr>
          <w:rFonts w:ascii="Times New Roman" w:hAnsi="Times New Roman" w:cs="Times New Roman"/>
          <w:sz w:val="28"/>
          <w:szCs w:val="28"/>
        </w:rPr>
        <w:t>о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муниц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 програ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>м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>м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0E5C34">
        <w:rPr>
          <w:rFonts w:ascii="Times New Roman" w:hAnsi="Times New Roman" w:cs="Times New Roman"/>
          <w:sz w:val="28"/>
          <w:szCs w:val="28"/>
        </w:rPr>
        <w:t>8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0E5C34">
        <w:rPr>
          <w:rFonts w:ascii="Times New Roman" w:hAnsi="Times New Roman" w:cs="Times New Roman"/>
          <w:sz w:val="28"/>
          <w:szCs w:val="28"/>
        </w:rPr>
        <w:t>8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0E5C34">
        <w:rPr>
          <w:rFonts w:ascii="Times New Roman" w:hAnsi="Times New Roman" w:cs="Times New Roman"/>
          <w:sz w:val="28"/>
          <w:szCs w:val="28"/>
        </w:rPr>
        <w:t>132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подпункте 1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4) 80000 – 89990 - используются исключительно для отражения расходов в соответствии с Прав</w:t>
      </w:r>
      <w:r w:rsidR="00AA6918" w:rsidRPr="00162C24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направленных на </w:t>
      </w:r>
      <w:r w:rsidR="001F4A0C">
        <w:rPr>
          <w:rFonts w:ascii="Times New Roman" w:hAnsi="Times New Roman" w:cs="Times New Roman"/>
          <w:snapToGrid w:val="0"/>
          <w:sz w:val="28"/>
          <w:szCs w:val="28"/>
        </w:rPr>
        <w:t>отраж</w:t>
      </w:r>
      <w:r w:rsidR="001F4A0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F4A0C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дополнительных расходов, принятых в целях исполнения переданных по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номочий Российской Федерации сверх объемов субвенций, предоставляемых из федерального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субвенции из кр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бюджету пред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1147D" w:rsidRPr="00162C2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147D" w:rsidRPr="00162C2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7B65">
        <w:rPr>
          <w:rFonts w:ascii="Times New Roman" w:hAnsi="Times New Roman" w:cs="Times New Roman"/>
          <w:sz w:val="28"/>
          <w:szCs w:val="28"/>
        </w:rPr>
        <w:t xml:space="preserve">из краевого бюджета предоставляются субсидии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</w:t>
      </w:r>
      <w:r w:rsidR="002B7B65">
        <w:rPr>
          <w:rFonts w:ascii="Times New Roman" w:hAnsi="Times New Roman" w:cs="Times New Roman"/>
          <w:sz w:val="28"/>
          <w:szCs w:val="28"/>
        </w:rPr>
        <w:t>о</w:t>
      </w:r>
      <w:r w:rsidR="002B7B65">
        <w:rPr>
          <w:rFonts w:ascii="Times New Roman" w:hAnsi="Times New Roman" w:cs="Times New Roman"/>
          <w:sz w:val="28"/>
          <w:szCs w:val="28"/>
        </w:rPr>
        <w:t xml:space="preserve">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 отражения расходов, источником финансового обеспечения которых являются целевые межбюджетные тран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ферты (за исключением субсидий), направленные на отражение  дополнител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Pr="00162C2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источником финансового обеспечения 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торых являются целевые межбюджетные трансферты на реализацию реги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нальных проектов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рых краевому бюджету предоставляются  из федерального бюджета, в том чи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ле на  предоставление  районному бюджету целевых межбюджетных трансфе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тов, отражаются  по целевым статьям расходов, включающим направления ра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ходов 50000-59990, соответствующие направлениям расходов федерального бюджета, в полном объеме, необходимом для исполнения соответствующего расходного обязательства.</w:t>
      </w:r>
      <w:proofErr w:type="gramEnd"/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С0000-С9990 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</w:t>
      </w:r>
      <w:r w:rsidR="00860FC6">
        <w:rPr>
          <w:rFonts w:ascii="Times New Roman" w:hAnsi="Times New Roman"/>
          <w:sz w:val="28"/>
          <w:szCs w:val="28"/>
        </w:rPr>
        <w:t>н</w:t>
      </w:r>
      <w:r w:rsidR="00860FC6">
        <w:rPr>
          <w:rFonts w:ascii="Times New Roman" w:hAnsi="Times New Roman"/>
          <w:sz w:val="28"/>
          <w:szCs w:val="28"/>
        </w:rPr>
        <w:t>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, источником финансового обеспечения которых являются ме</w:t>
      </w:r>
      <w:r w:rsidRPr="00344EF2">
        <w:rPr>
          <w:rFonts w:ascii="Times New Roman" w:hAnsi="Times New Roman"/>
          <w:sz w:val="28"/>
          <w:szCs w:val="28"/>
        </w:rPr>
        <w:t>ж</w:t>
      </w:r>
      <w:r w:rsidRPr="00344EF2">
        <w:rPr>
          <w:rFonts w:ascii="Times New Roman" w:hAnsi="Times New Roman"/>
          <w:sz w:val="28"/>
          <w:szCs w:val="28"/>
        </w:rPr>
        <w:t>бюджетные трансферты, предоставляемые из краевого бюджета, по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ниям расходов в рамках целевого назначения предоставляемых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применением буквенно-цифрового ряда:  1, 2, 3, 4, 5, 6, 7, 8, 9, Б, В, Г, Д, 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С, У, 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</w:t>
      </w:r>
      <w:r w:rsidRPr="00344EF2">
        <w:rPr>
          <w:rFonts w:ascii="Times New Roman" w:hAnsi="Times New Roman"/>
          <w:sz w:val="28"/>
          <w:szCs w:val="28"/>
        </w:rPr>
        <w:t>с</w:t>
      </w:r>
      <w:r w:rsidRPr="00344EF2">
        <w:rPr>
          <w:rFonts w:ascii="Times New Roman" w:hAnsi="Times New Roman"/>
          <w:sz w:val="28"/>
          <w:szCs w:val="28"/>
        </w:rPr>
        <w:t>ходов бюджета) после наименования кода направления расходов в скобках ук</w:t>
      </w:r>
      <w:r w:rsidRPr="00344EF2"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зывается соответствующее наименование целевого назначения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 не должно содержать 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lastRenderedPageBreak/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Б, В, Г, Д, 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>, С, 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EF2C66">
        <w:rPr>
          <w:rFonts w:ascii="Times New Roman" w:hAnsi="Times New Roman"/>
          <w:sz w:val="28"/>
          <w:szCs w:val="28"/>
        </w:rPr>
        <w:t>муниципального образования /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район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>90 Резервный фонд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>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</w:t>
      </w:r>
      <w:r w:rsidR="0038502A" w:rsidRPr="00162C24">
        <w:rPr>
          <w:rFonts w:ascii="Times New Roman" w:hAnsi="Times New Roman"/>
          <w:sz w:val="28"/>
          <w:szCs w:val="28"/>
        </w:rPr>
        <w:t xml:space="preserve">основным </w:t>
      </w:r>
      <w:r w:rsidR="006157DB" w:rsidRPr="00162C24">
        <w:rPr>
          <w:rFonts w:ascii="Times New Roman" w:hAnsi="Times New Roman"/>
          <w:sz w:val="28"/>
          <w:szCs w:val="28"/>
        </w:rPr>
        <w:t>мероприятиям в увязке с соответствующими направлениями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>01 1 01 00000 Основное мероприятие «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сударственных дошкольных организациях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о</w:t>
      </w:r>
      <w:r w:rsidR="001C1FBB" w:rsidRPr="00162C24">
        <w:rPr>
          <w:rFonts w:ascii="Times New Roman" w:hAnsi="Times New Roman" w:cs="Times New Roman"/>
          <w:sz w:val="28"/>
          <w:szCs w:val="28"/>
        </w:rPr>
        <w:t>с</w:t>
      </w:r>
      <w:r w:rsidR="001C1FBB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Основное мероприятие «Создание условий для обучения д</w:t>
      </w:r>
      <w:r w:rsidR="001C1FBB" w:rsidRPr="00162C24">
        <w:rPr>
          <w:rFonts w:ascii="Times New Roman" w:hAnsi="Times New Roman" w:cs="Times New Roman"/>
          <w:sz w:val="28"/>
          <w:szCs w:val="28"/>
        </w:rPr>
        <w:t>е</w:t>
      </w:r>
      <w:r w:rsidR="001C1FBB" w:rsidRPr="00162C24">
        <w:rPr>
          <w:rFonts w:ascii="Times New Roman" w:hAnsi="Times New Roman" w:cs="Times New Roman"/>
          <w:sz w:val="28"/>
          <w:szCs w:val="28"/>
        </w:rPr>
        <w:t>тей в муниципальных образовательных организациях»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Основное мероприятие «Модернизация муниципальной с</w:t>
      </w:r>
      <w:r w:rsidR="001C1FBB" w:rsidRPr="00162C24">
        <w:rPr>
          <w:rFonts w:ascii="Times New Roman" w:hAnsi="Times New Roman" w:cs="Times New Roman"/>
          <w:sz w:val="28"/>
          <w:szCs w:val="28"/>
        </w:rPr>
        <w:t>и</w:t>
      </w:r>
      <w:r w:rsidR="001C1FBB" w:rsidRPr="00162C24">
        <w:rPr>
          <w:rFonts w:ascii="Times New Roman" w:hAnsi="Times New Roman" w:cs="Times New Roman"/>
          <w:sz w:val="28"/>
          <w:szCs w:val="28"/>
        </w:rPr>
        <w:t>стемы общего образования»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03 00000 Основное мероприятие «Создание условий для проведения 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мероприятий в сфере общего образования»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Pr="000A56FD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>1 00000 Федеральный проект "Современная школа"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Основное мероприятие «Создание условий для обучения детей в образовательных организациях дополнительного образования детей»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Pr="00162C24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Основное мероприятие «Создание условий для проведения</w:t>
      </w:r>
    </w:p>
    <w:p w:rsidR="00615D41" w:rsidRPr="00162C24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образования»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BB6C84">
        <w:rPr>
          <w:rFonts w:ascii="Times New Roman" w:hAnsi="Times New Roman" w:cs="Times New Roman"/>
          <w:b/>
          <w:sz w:val="28"/>
          <w:szCs w:val="28"/>
        </w:rPr>
        <w:t>Финансовое 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е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ждений, относящихся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учреждений, относящихся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273F35" w:rsidRPr="00162C24">
        <w:rPr>
          <w:rFonts w:ascii="Times New Roman" w:hAnsi="Times New Roman"/>
          <w:sz w:val="28"/>
          <w:szCs w:val="28"/>
        </w:rPr>
        <w:t>е</w:t>
      </w:r>
      <w:r w:rsidR="00273F35" w:rsidRPr="00162C24">
        <w:rPr>
          <w:rFonts w:ascii="Times New Roman" w:hAnsi="Times New Roman"/>
          <w:sz w:val="28"/>
          <w:szCs w:val="28"/>
        </w:rPr>
        <w:t>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зацию отдыха детей»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реализ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ствии с состоянием соматического и психического здоровья детей»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«Финансовое обеспечение деятел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учета»</w:t>
      </w:r>
    </w:p>
    <w:p w:rsidR="00615D41" w:rsidRPr="00162C24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05 00000 Основное мероприятие «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ности управления образования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C39D4" w:rsidRPr="00162C24">
        <w:rPr>
          <w:rFonts w:ascii="Times New Roman" w:hAnsi="Times New Roman" w:cs="Times New Roman"/>
          <w:sz w:val="28"/>
          <w:szCs w:val="28"/>
        </w:rPr>
        <w:t>с</w:t>
      </w:r>
      <w:r w:rsidR="00EC39D4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Основное мероприятие «Совершенствование системы о</w:t>
      </w:r>
      <w:r w:rsidR="00EC39D4" w:rsidRPr="00162C24">
        <w:rPr>
          <w:rFonts w:ascii="Times New Roman" w:hAnsi="Times New Roman" w:cs="Times New Roman"/>
          <w:sz w:val="28"/>
          <w:szCs w:val="28"/>
        </w:rPr>
        <w:t>р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«Совершенствование организации детского оздоровительного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BB6C84" w:rsidRPr="00162C24">
        <w:rPr>
          <w:rFonts w:ascii="Times New Roman" w:hAnsi="Times New Roman" w:cs="Times New Roman"/>
          <w:sz w:val="28"/>
          <w:szCs w:val="28"/>
        </w:rPr>
        <w:t>»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подпр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Pr="00162C24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образа жизни, форм хозяйствования и самобытной кул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туры кубанского казачества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EC39D4" w:rsidRPr="00162C24" w:rsidRDefault="0022589A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Основное мероприятие «Укрепление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</w:t>
      </w:r>
      <w:r w:rsidR="00E70B28" w:rsidRPr="00162C24">
        <w:rPr>
          <w:rFonts w:ascii="Times New Roman" w:hAnsi="Times New Roman" w:cs="Times New Roman"/>
          <w:sz w:val="28"/>
          <w:szCs w:val="28"/>
        </w:rPr>
        <w:t>и</w:t>
      </w:r>
      <w:r w:rsidR="00E70B28" w:rsidRPr="00162C24">
        <w:rPr>
          <w:rFonts w:ascii="Times New Roman" w:hAnsi="Times New Roman" w:cs="Times New Roman"/>
          <w:sz w:val="28"/>
          <w:szCs w:val="28"/>
        </w:rPr>
        <w:t>ала одаренных детей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</w:t>
      </w:r>
      <w:r w:rsidR="005A4B36" w:rsidRPr="00162C24">
        <w:rPr>
          <w:rFonts w:ascii="Times New Roman" w:hAnsi="Times New Roman" w:cs="Times New Roman"/>
          <w:sz w:val="28"/>
          <w:szCs w:val="28"/>
        </w:rPr>
        <w:t>о</w:t>
      </w:r>
      <w:r w:rsidR="005A4B36" w:rsidRPr="00162C24">
        <w:rPr>
          <w:rFonts w:ascii="Times New Roman" w:hAnsi="Times New Roman" w:cs="Times New Roman"/>
          <w:sz w:val="28"/>
          <w:szCs w:val="28"/>
        </w:rPr>
        <w:t>ставляемых учреждениями  культуры, искусства и кинематографии муниц</w:t>
      </w:r>
      <w:r w:rsidR="005A4B36" w:rsidRPr="00162C24">
        <w:rPr>
          <w:rFonts w:ascii="Times New Roman" w:hAnsi="Times New Roman" w:cs="Times New Roman"/>
          <w:sz w:val="28"/>
          <w:szCs w:val="28"/>
        </w:rPr>
        <w:t>и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</w:t>
      </w:r>
      <w:r w:rsidR="0057082F" w:rsidRPr="00162C24">
        <w:rPr>
          <w:rFonts w:ascii="Times New Roman" w:hAnsi="Times New Roman" w:cs="Times New Roman"/>
          <w:sz w:val="28"/>
          <w:szCs w:val="28"/>
        </w:rPr>
        <w:t>а</w:t>
      </w:r>
      <w:r w:rsidR="0057082F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7082F" w:rsidRPr="00162C24" w:rsidRDefault="0057082F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064330" w:rsidRPr="00162C24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822D50" w:rsidRPr="00162C24" w:rsidRDefault="0006433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«Создание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C16BC4" w:rsidRPr="00162C2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854B6" w:rsidRPr="00162C24" w:rsidRDefault="000854B6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273F35" w:rsidRPr="00162C24">
        <w:rPr>
          <w:rFonts w:ascii="Times New Roman" w:hAnsi="Times New Roman"/>
          <w:sz w:val="28"/>
          <w:szCs w:val="28"/>
        </w:rPr>
        <w:t>т</w:t>
      </w:r>
      <w:r w:rsidR="00273F35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муниципальной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учреждений культуры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02 4 02 00000 Основное мероприятие «Сохранение и развитие худож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ственно-эстетического образования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туры»</w:t>
      </w:r>
    </w:p>
    <w:p w:rsidR="009C15CF" w:rsidRPr="00162C24" w:rsidRDefault="00E6140B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14381F" w:rsidRPr="00162C24" w:rsidRDefault="00710422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осуществляемые по следующим подпрограммам муниципальной программы муниципального образования </w:t>
      </w:r>
      <w:proofErr w:type="spellStart"/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Основное мероприятие «Организация оказания медици</w:t>
      </w:r>
      <w:r w:rsidR="0014381F" w:rsidRPr="00162C24">
        <w:rPr>
          <w:rFonts w:ascii="Times New Roman" w:hAnsi="Times New Roman" w:cs="Times New Roman"/>
          <w:sz w:val="28"/>
          <w:szCs w:val="28"/>
        </w:rPr>
        <w:t>н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Основное мероприятие «Обеспечение медикаментами льготной категории граждан»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Основное мероприятие «Создание условий и создание м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здорового образа жизни населения»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04 00000 Основное мероприятие «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</w:t>
      </w:r>
      <w:r w:rsidR="00545352" w:rsidRPr="00545352">
        <w:rPr>
          <w:rFonts w:ascii="Times New Roman" w:hAnsi="Times New Roman" w:cs="Times New Roman"/>
          <w:sz w:val="28"/>
          <w:szCs w:val="28"/>
        </w:rPr>
        <w:t>ь</w:t>
      </w:r>
      <w:r w:rsidR="00545352" w:rsidRPr="00545352">
        <w:rPr>
          <w:rFonts w:ascii="Times New Roman" w:hAnsi="Times New Roman" w:cs="Times New Roman"/>
          <w:sz w:val="28"/>
          <w:szCs w:val="28"/>
        </w:rPr>
        <w:t>ных учреждений здравоохранения</w:t>
      </w:r>
      <w:r w:rsidR="0014381F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Основное мероприятие «Совершенствование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</w:t>
      </w:r>
      <w:r w:rsidR="0014381F" w:rsidRPr="00162C24">
        <w:rPr>
          <w:rFonts w:ascii="Times New Roman" w:hAnsi="Times New Roman" w:cs="Times New Roman"/>
          <w:sz w:val="28"/>
          <w:szCs w:val="28"/>
        </w:rPr>
        <w:t>е</w:t>
      </w:r>
      <w:r w:rsidR="0014381F" w:rsidRPr="00162C24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62C24">
        <w:rPr>
          <w:rFonts w:ascii="Times New Roman" w:hAnsi="Times New Roman" w:cs="Times New Roman"/>
          <w:sz w:val="28"/>
          <w:szCs w:val="28"/>
        </w:rPr>
        <w:t>ь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работанной в соответствии с Перечнем муниципальных программ муниципал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по следующим 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</w:t>
      </w:r>
      <w:r w:rsidR="00273F35" w:rsidRPr="00162C24">
        <w:rPr>
          <w:rFonts w:ascii="Times New Roman" w:hAnsi="Times New Roman"/>
          <w:sz w:val="28"/>
          <w:szCs w:val="28"/>
        </w:rPr>
        <w:t>в</w:t>
      </w:r>
      <w:r w:rsidR="00273F35" w:rsidRPr="00162C24">
        <w:rPr>
          <w:rFonts w:ascii="Times New Roman" w:hAnsi="Times New Roman"/>
          <w:sz w:val="28"/>
          <w:szCs w:val="28"/>
        </w:rPr>
        <w:t>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</w:t>
      </w:r>
      <w:r w:rsidR="00057F26" w:rsidRPr="004A7B5F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057F26">
        <w:rPr>
          <w:rFonts w:ascii="Times New Roman" w:hAnsi="Times New Roman" w:cs="Times New Roman"/>
          <w:sz w:val="28"/>
          <w:szCs w:val="28"/>
        </w:rPr>
        <w:t>муниципальной по</w:t>
      </w:r>
      <w:r w:rsidR="00057F26">
        <w:rPr>
          <w:rFonts w:ascii="Times New Roman" w:hAnsi="Times New Roman" w:cs="Times New Roman"/>
          <w:sz w:val="28"/>
          <w:szCs w:val="28"/>
        </w:rPr>
        <w:t>д</w:t>
      </w:r>
      <w:r w:rsidR="00057F26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057F26" w:rsidRPr="004A7B5F">
        <w:rPr>
          <w:rFonts w:ascii="Times New Roman" w:hAnsi="Times New Roman" w:cs="Times New Roman"/>
          <w:sz w:val="28"/>
          <w:szCs w:val="28"/>
        </w:rPr>
        <w:t>некоторым категориям граждан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40030  </w:t>
      </w:r>
      <w:r w:rsidR="00057F26" w:rsidRPr="00E45F2E">
        <w:rPr>
          <w:rFonts w:ascii="Times New Roman" w:hAnsi="Times New Roman" w:cs="Times New Roman"/>
          <w:sz w:val="28"/>
          <w:szCs w:val="28"/>
        </w:rPr>
        <w:t>Еди</w:t>
      </w:r>
      <w:r w:rsidR="00057F26">
        <w:rPr>
          <w:rFonts w:ascii="Times New Roman" w:hAnsi="Times New Roman" w:cs="Times New Roman"/>
          <w:sz w:val="28"/>
          <w:szCs w:val="28"/>
        </w:rPr>
        <w:t xml:space="preserve">новременная муниципальная поддержка отдельных </w:t>
      </w:r>
      <w:r w:rsidR="00057F26" w:rsidRPr="00E45F2E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057F26">
        <w:rPr>
          <w:rFonts w:ascii="Times New Roman" w:hAnsi="Times New Roman" w:cs="Times New Roman"/>
          <w:sz w:val="28"/>
          <w:szCs w:val="28"/>
        </w:rPr>
        <w:t>й</w:t>
      </w:r>
      <w:r w:rsidR="00057F26" w:rsidRPr="00E45F2E">
        <w:rPr>
          <w:rFonts w:ascii="Times New Roman" w:hAnsi="Times New Roman" w:cs="Times New Roman"/>
          <w:sz w:val="28"/>
          <w:szCs w:val="28"/>
        </w:rPr>
        <w:t xml:space="preserve"> граждан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оказание социальной поддержки некоторых граждан, оказавши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хся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трудной жизненной ситуации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некоммерчески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</w:t>
      </w:r>
      <w:r w:rsidR="005146B0" w:rsidRPr="00E45F2E">
        <w:rPr>
          <w:rFonts w:ascii="Times New Roman" w:hAnsi="Times New Roman" w:cs="Times New Roman"/>
          <w:sz w:val="28"/>
          <w:szCs w:val="28"/>
        </w:rPr>
        <w:t>у</w:t>
      </w:r>
      <w:r w:rsidR="005146B0" w:rsidRPr="00E45F2E">
        <w:rPr>
          <w:rFonts w:ascii="Times New Roman" w:hAnsi="Times New Roman" w:cs="Times New Roman"/>
          <w:sz w:val="28"/>
          <w:szCs w:val="28"/>
        </w:rPr>
        <w:t>ществляющих деятельность, направленную на социальную поддержку отдел</w:t>
      </w:r>
      <w:r w:rsidR="005146B0" w:rsidRPr="00E45F2E">
        <w:rPr>
          <w:rFonts w:ascii="Times New Roman" w:hAnsi="Times New Roman" w:cs="Times New Roman"/>
          <w:sz w:val="28"/>
          <w:szCs w:val="28"/>
        </w:rPr>
        <w:t>ь</w:t>
      </w:r>
      <w:r w:rsidR="005146B0" w:rsidRPr="00E45F2E">
        <w:rPr>
          <w:rFonts w:ascii="Times New Roman" w:hAnsi="Times New Roman" w:cs="Times New Roman"/>
          <w:sz w:val="28"/>
          <w:szCs w:val="28"/>
        </w:rPr>
        <w:t>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создание условий для вовлечения ветеранов в акти</w:t>
      </w:r>
      <w:r w:rsidR="005146B0">
        <w:rPr>
          <w:rFonts w:ascii="Times New Roman" w:hAnsi="Times New Roman" w:cs="Times New Roman"/>
          <w:sz w:val="28"/>
          <w:szCs w:val="28"/>
        </w:rPr>
        <w:t>в</w:t>
      </w:r>
      <w:r w:rsidR="005146B0">
        <w:rPr>
          <w:rFonts w:ascii="Times New Roman" w:hAnsi="Times New Roman" w:cs="Times New Roman"/>
          <w:sz w:val="28"/>
          <w:szCs w:val="28"/>
        </w:rPr>
        <w:t>ную жизнь общества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15684E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03 00000 Основное мероприятие «Меры муниципальной поддержки лиц, замещавших муниципальные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«Меры социальной поддержки граждан, удостоенных почетного звания или наград муниципального образов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связанные с выпо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нением публичных обязательств.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>04 1 05 00000 Основное мероприятие «</w:t>
      </w:r>
      <w:proofErr w:type="spellStart"/>
      <w:r w:rsidR="005146B0" w:rsidRPr="004A7B5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146B0" w:rsidRPr="004A7B5F">
        <w:rPr>
          <w:rFonts w:ascii="Times New Roman" w:hAnsi="Times New Roman" w:cs="Times New Roman"/>
          <w:sz w:val="28"/>
          <w:szCs w:val="28"/>
        </w:rPr>
        <w:t xml:space="preserve"> предоставления социальных выплат молодым семья в рамках мероприятия по обеспечению ж</w:t>
      </w:r>
      <w:r w:rsidR="005146B0" w:rsidRPr="004A7B5F">
        <w:rPr>
          <w:rFonts w:ascii="Times New Roman" w:hAnsi="Times New Roman" w:cs="Times New Roman"/>
          <w:sz w:val="28"/>
          <w:szCs w:val="28"/>
        </w:rPr>
        <w:t>и</w:t>
      </w:r>
      <w:r w:rsidR="005146B0" w:rsidRPr="004A7B5F">
        <w:rPr>
          <w:rFonts w:ascii="Times New Roman" w:hAnsi="Times New Roman" w:cs="Times New Roman"/>
          <w:sz w:val="28"/>
          <w:szCs w:val="28"/>
        </w:rPr>
        <w:t>льем молодых семей ведомственной целевой программы «Оказание госуда</w:t>
      </w:r>
      <w:r w:rsidR="005146B0" w:rsidRPr="004A7B5F">
        <w:rPr>
          <w:rFonts w:ascii="Times New Roman" w:hAnsi="Times New Roman" w:cs="Times New Roman"/>
          <w:sz w:val="28"/>
          <w:szCs w:val="28"/>
        </w:rPr>
        <w:t>р</w:t>
      </w:r>
      <w:r w:rsidR="005146B0" w:rsidRPr="004A7B5F">
        <w:rPr>
          <w:rFonts w:ascii="Times New Roman" w:hAnsi="Times New Roman" w:cs="Times New Roman"/>
          <w:sz w:val="28"/>
          <w:szCs w:val="28"/>
        </w:rPr>
        <w:lastRenderedPageBreak/>
        <w:t>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EB798E">
        <w:rPr>
          <w:rFonts w:ascii="Times New Roman" w:hAnsi="Times New Roman" w:cs="Times New Roman"/>
          <w:sz w:val="28"/>
          <w:szCs w:val="28"/>
        </w:rPr>
        <w:t>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организаций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воспитания»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гося приемным родителям за оказание услуг по воспитанию приемных детей»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«Реализация государственных 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и занятости детей»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бюджета»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 предоставленных им жилых п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Pr="00162C24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Основное мероприятие «Реализация мероприятий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обратно»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Pr="00162C24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C70B0F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221055" w:rsidRPr="00162C24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Основное мероприятие «Реализация муниципальных фун</w:t>
      </w:r>
      <w:r w:rsidR="009B674B" w:rsidRPr="00162C24">
        <w:rPr>
          <w:rFonts w:ascii="Times New Roman" w:hAnsi="Times New Roman" w:cs="Times New Roman"/>
          <w:sz w:val="28"/>
          <w:szCs w:val="28"/>
        </w:rPr>
        <w:t>к</w:t>
      </w:r>
      <w:r w:rsidR="009B674B" w:rsidRPr="00162C24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Основное мероприятие «Физическое воспитание и обесп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мероприятий»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Основное мероприятие «Приобретение путевок для орг</w:t>
      </w:r>
      <w:r w:rsidR="009B674B" w:rsidRPr="00162C24">
        <w:rPr>
          <w:rFonts w:ascii="Times New Roman" w:hAnsi="Times New Roman" w:cs="Times New Roman"/>
          <w:sz w:val="28"/>
          <w:szCs w:val="28"/>
        </w:rPr>
        <w:t>а</w:t>
      </w:r>
      <w:r w:rsidR="009B674B" w:rsidRPr="00162C24">
        <w:rPr>
          <w:rFonts w:ascii="Times New Roman" w:hAnsi="Times New Roman" w:cs="Times New Roman"/>
          <w:sz w:val="28"/>
          <w:szCs w:val="28"/>
        </w:rPr>
        <w:t>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Основное мероприятие «Реализация мероприятий госуда</w:t>
      </w:r>
      <w:r w:rsidR="009B674B" w:rsidRPr="00162C24">
        <w:rPr>
          <w:rFonts w:ascii="Times New Roman" w:hAnsi="Times New Roman" w:cs="Times New Roman"/>
          <w:sz w:val="28"/>
          <w:szCs w:val="28"/>
        </w:rPr>
        <w:t>р</w:t>
      </w:r>
      <w:r w:rsidR="009B674B" w:rsidRPr="00162C24">
        <w:rPr>
          <w:rFonts w:ascii="Times New Roman" w:hAnsi="Times New Roman" w:cs="Times New Roman"/>
          <w:sz w:val="28"/>
          <w:szCs w:val="28"/>
        </w:rPr>
        <w:t>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162C24">
        <w:rPr>
          <w:rFonts w:ascii="Times New Roman" w:hAnsi="Times New Roman" w:cs="Times New Roman"/>
          <w:sz w:val="28"/>
          <w:szCs w:val="28"/>
        </w:rPr>
        <w:t>в</w:t>
      </w:r>
      <w:r w:rsidR="009B674B" w:rsidRPr="00162C24">
        <w:rPr>
          <w:rFonts w:ascii="Times New Roman" w:hAnsi="Times New Roman" w:cs="Times New Roman"/>
          <w:sz w:val="28"/>
          <w:szCs w:val="28"/>
        </w:rPr>
        <w:t>ного резерва»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5B5E06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Основное мероприятие «Обеспечение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Pr="00162C24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ющим мероприятиям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Основное мероприятие «Финансовое обеспечение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политики»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Основное мероприятие «Обеспечение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делам молодежи администрации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Основное мероприятие «Содействие экономической сам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162C24">
        <w:rPr>
          <w:rFonts w:ascii="Times New Roman" w:hAnsi="Times New Roman" w:cs="Times New Roman"/>
          <w:sz w:val="28"/>
          <w:szCs w:val="28"/>
        </w:rPr>
        <w:t>у</w:t>
      </w:r>
      <w:r w:rsidR="00A64E69" w:rsidRPr="00162C24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162C24">
        <w:rPr>
          <w:rFonts w:ascii="Times New Roman" w:hAnsi="Times New Roman" w:cs="Times New Roman"/>
          <w:sz w:val="28"/>
          <w:szCs w:val="28"/>
        </w:rPr>
        <w:t>е</w:t>
      </w:r>
      <w:r w:rsidR="00A64E69" w:rsidRPr="00162C24">
        <w:rPr>
          <w:rFonts w:ascii="Times New Roman" w:hAnsi="Times New Roman" w:cs="Times New Roman"/>
          <w:sz w:val="28"/>
          <w:szCs w:val="28"/>
        </w:rPr>
        <w:t>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Основное мероприятие «Вовлечение молодежи в предпр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и</w:t>
      </w:r>
      <w:r w:rsidR="00A64E69" w:rsidRPr="00162C24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162C24">
        <w:rPr>
          <w:rFonts w:ascii="Times New Roman" w:hAnsi="Times New Roman" w:cs="Times New Roman"/>
          <w:sz w:val="28"/>
          <w:szCs w:val="28"/>
        </w:rPr>
        <w:t>р</w:t>
      </w:r>
      <w:r w:rsidR="00A64E69" w:rsidRPr="00162C24">
        <w:rPr>
          <w:rFonts w:ascii="Times New Roman" w:hAnsi="Times New Roman" w:cs="Times New Roman"/>
          <w:sz w:val="28"/>
          <w:szCs w:val="28"/>
        </w:rPr>
        <w:t>ских идей молодежи»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</w:t>
      </w:r>
      <w:r w:rsidR="00ED2CD7" w:rsidRPr="00162C2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4E69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Pr="00162C24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Основное мероприятие «Информационное обеспечение р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ализации молодежной политики»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 осуществляемые по следующим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 w:rsidRPr="00162C24">
        <w:rPr>
          <w:rFonts w:ascii="Times New Roman" w:hAnsi="Times New Roman" w:cs="Times New Roman"/>
          <w:sz w:val="28"/>
          <w:szCs w:val="28"/>
        </w:rPr>
        <w:t>е</w:t>
      </w:r>
      <w:r w:rsidR="0039176C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80313" w:rsidRPr="00162C24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 xml:space="preserve">07 1 01 00000 Основное мероприятие «Повышение уровня доступности </w:t>
      </w:r>
    </w:p>
    <w:p w:rsidR="0039176C" w:rsidRPr="00162C24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охранения»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Pr="00162C24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C80313" w:rsidRPr="00162C24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Основное мероприятие «Создание,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ликвидации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характера»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 xml:space="preserve">чайных ситуаций и стихийных бедствий выполняемые в рамках специальных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Основное мероприятие «Создание, хранение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обороны»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Основное мероприятие «Обеспечение населения района</w:t>
      </w:r>
    </w:p>
    <w:p w:rsidR="00C80313" w:rsidRPr="00162C24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приятий в области защиты населения и территорий от чрезвычайных ситуаций муниципального характера»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13250 Разработка паспорта безопасности территории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Основное мероприятие «Подготовка и обучение всех кат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 чрезвычайных с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характера»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Pr="00162C24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>районного бю</w:t>
      </w:r>
      <w:r w:rsidR="0050433A" w:rsidRPr="00162C24">
        <w:rPr>
          <w:rFonts w:ascii="Times New Roman" w:hAnsi="Times New Roman" w:cs="Times New Roman"/>
          <w:sz w:val="28"/>
          <w:szCs w:val="28"/>
        </w:rPr>
        <w:t>д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162C24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;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62C24">
        <w:rPr>
          <w:rFonts w:ascii="Times New Roman" w:hAnsi="Times New Roman" w:cs="Times New Roman"/>
          <w:sz w:val="28"/>
          <w:szCs w:val="28"/>
        </w:rPr>
        <w:t>проведение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62C24">
        <w:rPr>
          <w:rFonts w:ascii="Times New Roman" w:hAnsi="Times New Roman" w:cs="Times New Roman"/>
          <w:sz w:val="28"/>
          <w:szCs w:val="28"/>
        </w:rPr>
        <w:t>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ятий в целях обеспечения экологической безопасности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и угрозы возникновения чрезвычайных ситуаций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36623" w:rsidRPr="00162C24">
        <w:rPr>
          <w:rFonts w:ascii="Times New Roman" w:hAnsi="Times New Roman" w:cs="Times New Roman"/>
          <w:sz w:val="28"/>
          <w:szCs w:val="28"/>
        </w:rPr>
        <w:t>с</w:t>
      </w:r>
      <w:r w:rsidR="00E36623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Основное мероприятие «Мероприятия по совершенствов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объектов»</w:t>
      </w:r>
    </w:p>
    <w:p w:rsidR="001401FC" w:rsidRPr="00162C24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3 01 00000 Основное мероприятие «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через СМИ, повышение эффективности совместной раб</w:t>
      </w:r>
      <w:r w:rsidR="00F0301A" w:rsidRPr="00F0301A">
        <w:rPr>
          <w:rFonts w:ascii="Times New Roman" w:hAnsi="Times New Roman" w:cs="Times New Roman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z w:val="28"/>
          <w:szCs w:val="28"/>
        </w:rPr>
        <w:t>ты органов местного самоуправления, правоохранительных органов и контр</w:t>
      </w:r>
      <w:r w:rsidR="00F0301A" w:rsidRPr="00F0301A">
        <w:rPr>
          <w:rFonts w:ascii="Times New Roman" w:hAnsi="Times New Roman" w:cs="Times New Roman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z w:val="28"/>
          <w:szCs w:val="28"/>
        </w:rPr>
        <w:t>лирующих органов в борьбе с преступностью и профилактике правонарушений, путем профилактической работы</w:t>
      </w:r>
      <w:r w:rsidR="00E36623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5033C" w:rsidRPr="00162C24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10280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Основное мероприятие «Информирование населения о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проявлениях»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предостережения от террористических и экстремистских угроз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2636C4" w:rsidRPr="00162C24" w:rsidRDefault="002636C4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162C24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филактики мер антикоррупционной направленности, выявление сфер муниц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пального управления, в наибольшей степени подверженных риску коррупции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вующих в обеспечении безопасности жизнедеятельности населения района и построения сегментов АПК "Безопасный город" на базе существующей инфр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структуры и дальнейшее развитие их функциональных и технических возмо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ностей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инфраструктуры видеонаблюдения,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сбора и отображения видеоинформации от всех муниципальных видеокамер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42E5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основным меропр</w:t>
      </w:r>
      <w:r w:rsidR="007478C0" w:rsidRPr="00162C24">
        <w:rPr>
          <w:rFonts w:ascii="Times New Roman" w:hAnsi="Times New Roman" w:cs="Times New Roman"/>
          <w:sz w:val="28"/>
          <w:szCs w:val="28"/>
        </w:rPr>
        <w:t>и</w:t>
      </w:r>
      <w:r w:rsidR="007478C0" w:rsidRPr="00162C24">
        <w:rPr>
          <w:rFonts w:ascii="Times New Roman" w:hAnsi="Times New Roman" w:cs="Times New Roman"/>
          <w:sz w:val="28"/>
          <w:szCs w:val="28"/>
        </w:rPr>
        <w:t>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Pr="00162C24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08 7 01 00 00000 Основное мероприятие «Проведение мероприятий </w:t>
      </w:r>
      <w:proofErr w:type="gramStart"/>
      <w:r w:rsidR="007478C0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Pr="00162C24" w:rsidRDefault="007478C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населения»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</w:t>
      </w:r>
      <w:r w:rsidR="007F04CC">
        <w:rPr>
          <w:rFonts w:ascii="Times New Roman" w:hAnsi="Times New Roman" w:cs="Times New Roman"/>
          <w:sz w:val="28"/>
          <w:szCs w:val="28"/>
        </w:rPr>
        <w:t>по участию в организации деятельности по сбору (в том числе раздельному сбору), транспортированию, обработке, утилизации, обезвреживанию, захор</w:t>
      </w:r>
      <w:r w:rsidR="007F04CC">
        <w:rPr>
          <w:rFonts w:ascii="Times New Roman" w:hAnsi="Times New Roman" w:cs="Times New Roman"/>
          <w:sz w:val="28"/>
          <w:szCs w:val="28"/>
        </w:rPr>
        <w:t>о</w:t>
      </w:r>
      <w:r w:rsidR="007F04CC">
        <w:rPr>
          <w:rFonts w:ascii="Times New Roman" w:hAnsi="Times New Roman" w:cs="Times New Roman"/>
          <w:sz w:val="28"/>
          <w:szCs w:val="28"/>
        </w:rPr>
        <w:t>нению твердых коммунальных отходов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иных межбюджетных трансфертов бюджетам поселений на осуществление полномочий </w:t>
      </w:r>
      <w:r w:rsidR="007F04CC">
        <w:rPr>
          <w:rFonts w:ascii="Times New Roman" w:hAnsi="Times New Roman" w:cs="Times New Roman"/>
          <w:sz w:val="28"/>
          <w:szCs w:val="28"/>
        </w:rPr>
        <w:t>по участию в организации деятельности по сбору</w:t>
      </w:r>
      <w:proofErr w:type="gramEnd"/>
      <w:r w:rsidR="007F04CC">
        <w:rPr>
          <w:rFonts w:ascii="Times New Roman" w:hAnsi="Times New Roman" w:cs="Times New Roman"/>
          <w:sz w:val="28"/>
          <w:szCs w:val="28"/>
        </w:rPr>
        <w:t xml:space="preserve"> (в том числе ра</w:t>
      </w:r>
      <w:r w:rsidR="007F04CC">
        <w:rPr>
          <w:rFonts w:ascii="Times New Roman" w:hAnsi="Times New Roman" w:cs="Times New Roman"/>
          <w:sz w:val="28"/>
          <w:szCs w:val="28"/>
        </w:rPr>
        <w:t>з</w:t>
      </w:r>
      <w:r w:rsidR="007F04CC">
        <w:rPr>
          <w:rFonts w:ascii="Times New Roman" w:hAnsi="Times New Roman" w:cs="Times New Roman"/>
          <w:sz w:val="28"/>
          <w:szCs w:val="28"/>
        </w:rPr>
        <w:t>дельному сбору), транспортированию, обработке, утилизации, обезврежив</w:t>
      </w:r>
      <w:r w:rsidR="007F04CC">
        <w:rPr>
          <w:rFonts w:ascii="Times New Roman" w:hAnsi="Times New Roman" w:cs="Times New Roman"/>
          <w:sz w:val="28"/>
          <w:szCs w:val="28"/>
        </w:rPr>
        <w:t>а</w:t>
      </w:r>
      <w:r w:rsidR="007F04CC">
        <w:rPr>
          <w:rFonts w:ascii="Times New Roman" w:hAnsi="Times New Roman" w:cs="Times New Roman"/>
          <w:sz w:val="28"/>
          <w:szCs w:val="28"/>
        </w:rPr>
        <w:t>нию, захоронению твердых коммунальных отходов</w:t>
      </w:r>
      <w:r w:rsidR="007F04C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F04CC">
        <w:rPr>
          <w:rFonts w:ascii="Times New Roman" w:hAnsi="Times New Roman" w:cs="Times New Roman"/>
          <w:sz w:val="28"/>
          <w:szCs w:val="28"/>
        </w:rPr>
        <w:t>на территории муниц</w:t>
      </w:r>
      <w:r w:rsidR="007F04CC">
        <w:rPr>
          <w:rFonts w:ascii="Times New Roman" w:hAnsi="Times New Roman" w:cs="Times New Roman"/>
          <w:sz w:val="28"/>
          <w:szCs w:val="28"/>
        </w:rPr>
        <w:t>и</w:t>
      </w:r>
      <w:r w:rsidR="007F04CC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7F04C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04C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Основное мероприятие «Финансирование мероприятий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Pr="00162C24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вания»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Основное мероприятие «Проведение мероприятий по рег</w:t>
      </w:r>
      <w:r w:rsidR="00436C8C" w:rsidRPr="00162C24">
        <w:rPr>
          <w:rFonts w:ascii="Times New Roman" w:hAnsi="Times New Roman" w:cs="Times New Roman"/>
          <w:sz w:val="28"/>
          <w:szCs w:val="28"/>
        </w:rPr>
        <w:t>у</w:t>
      </w:r>
      <w:r w:rsidR="00436C8C" w:rsidRPr="00162C24">
        <w:rPr>
          <w:rFonts w:ascii="Times New Roman" w:hAnsi="Times New Roman" w:cs="Times New Roman"/>
          <w:sz w:val="28"/>
          <w:szCs w:val="28"/>
        </w:rPr>
        <w:t>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района»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осуществляемые по следующим меропри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тиям муниципальной программы муниципального образования </w:t>
      </w:r>
      <w:proofErr w:type="spellStart"/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02 00000 Основное мероприятие «Организация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Pr="00162C24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ществ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подпрограмма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</w:t>
      </w:r>
      <w:r w:rsidRPr="00875131">
        <w:rPr>
          <w:rFonts w:ascii="Times New Roman" w:hAnsi="Times New Roman" w:cs="Times New Roman"/>
          <w:sz w:val="28"/>
          <w:szCs w:val="28"/>
        </w:rPr>
        <w:t>е</w:t>
      </w:r>
      <w:r w:rsidRPr="00875131">
        <w:rPr>
          <w:rFonts w:ascii="Times New Roman" w:hAnsi="Times New Roman" w:cs="Times New Roman"/>
          <w:sz w:val="28"/>
          <w:szCs w:val="28"/>
        </w:rPr>
        <w:t xml:space="preserve">мы территориального планирования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</w:t>
      </w:r>
      <w:r w:rsidRPr="00875131">
        <w:rPr>
          <w:rFonts w:ascii="Times New Roman" w:hAnsi="Times New Roman" w:cs="Times New Roman"/>
          <w:sz w:val="28"/>
          <w:szCs w:val="28"/>
        </w:rPr>
        <w:t>в</w:t>
      </w:r>
      <w:r w:rsidRPr="0087513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Основное мероприятие «Обеспечение деятельности подв</w:t>
      </w:r>
      <w:r w:rsidR="00DC5F57" w:rsidRPr="00162C24">
        <w:rPr>
          <w:rFonts w:ascii="Times New Roman" w:hAnsi="Times New Roman" w:cs="Times New Roman"/>
          <w:sz w:val="28"/>
          <w:szCs w:val="28"/>
        </w:rPr>
        <w:t>е</w:t>
      </w:r>
      <w:r w:rsidR="00DC5F57" w:rsidRPr="00162C24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архитектуры»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315BB"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</w:t>
      </w:r>
      <w:r w:rsidR="00F315BB" w:rsidRPr="00162C24">
        <w:rPr>
          <w:rFonts w:ascii="Times New Roman" w:hAnsi="Times New Roman" w:cs="Times New Roman"/>
          <w:sz w:val="28"/>
          <w:szCs w:val="28"/>
        </w:rPr>
        <w:t>й</w:t>
      </w:r>
      <w:r w:rsidR="00F315BB" w:rsidRPr="00162C24">
        <w:rPr>
          <w:rFonts w:ascii="Times New Roman" w:hAnsi="Times New Roman" w:cs="Times New Roman"/>
          <w:sz w:val="28"/>
          <w:szCs w:val="28"/>
        </w:rPr>
        <w:t>ство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Start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3A1FEE" w:rsidRPr="00162C24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="003A1FEE" w:rsidRPr="00162C24">
        <w:rPr>
          <w:rFonts w:ascii="Times New Roman" w:hAnsi="Times New Roman" w:cs="Times New Roman"/>
          <w:sz w:val="28"/>
          <w:szCs w:val="28"/>
        </w:rPr>
        <w:t xml:space="preserve">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Основное мероприятие «Осуществление комплекса мер</w:t>
      </w:r>
      <w:r w:rsidR="003A1FEE" w:rsidRPr="00162C24">
        <w:rPr>
          <w:rFonts w:ascii="Times New Roman" w:hAnsi="Times New Roman" w:cs="Times New Roman"/>
          <w:sz w:val="28"/>
          <w:szCs w:val="28"/>
        </w:rPr>
        <w:t>о</w:t>
      </w:r>
      <w:r w:rsidR="003A1FEE" w:rsidRPr="00162C24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пунктов»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Pr="00162C24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Основное мероприятие «Обеспечение деятельности отдела </w:t>
      </w:r>
    </w:p>
    <w:p w:rsidR="00902848" w:rsidRPr="00162C24" w:rsidRDefault="00902848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он»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границ населенных пунктов в границах муниципального района и искусстве</w:t>
      </w:r>
      <w:r w:rsidRPr="00D81B96">
        <w:rPr>
          <w:rFonts w:ascii="Times New Roman" w:hAnsi="Times New Roman" w:cs="Times New Roman"/>
          <w:sz w:val="28"/>
          <w:szCs w:val="28"/>
        </w:rPr>
        <w:t>н</w:t>
      </w:r>
      <w:r w:rsidRPr="00D81B96">
        <w:rPr>
          <w:rFonts w:ascii="Times New Roman" w:hAnsi="Times New Roman" w:cs="Times New Roman"/>
          <w:sz w:val="28"/>
          <w:szCs w:val="28"/>
        </w:rPr>
        <w:t>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8193E" w:rsidRDefault="00E8193E" w:rsidP="00E8193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E8193E">
        <w:rPr>
          <w:rFonts w:ascii="Times New Roman" w:hAnsi="Times New Roman" w:cs="Times New Roman"/>
          <w:sz w:val="28"/>
          <w:szCs w:val="28"/>
        </w:rPr>
        <w:t xml:space="preserve">Предупреждение детского дорожно-транспортного травматизма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</w:t>
      </w:r>
      <w:r w:rsidRPr="00E8193E">
        <w:rPr>
          <w:rFonts w:ascii="Times New Roman" w:hAnsi="Times New Roman" w:cs="Times New Roman"/>
          <w:sz w:val="28"/>
          <w:szCs w:val="28"/>
        </w:rPr>
        <w:t>и</w:t>
      </w:r>
      <w:r w:rsidRPr="00E8193E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F7B93" w:rsidRPr="00162C24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«Формирование земельных учас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торгов)»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«Проведение технической инвент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5F7B93" w:rsidRPr="00162C24" w:rsidRDefault="005F7B93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10010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«Проведение рыночной оценки об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ектов недвижимости»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Приобретение в муниципальную собственность муниципального образования </w:t>
      </w:r>
      <w:proofErr w:type="spellStart"/>
      <w:r w:rsidRPr="008555D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 район жилого п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мещения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162C24">
        <w:rPr>
          <w:rFonts w:ascii="Times New Roman" w:hAnsi="Times New Roman"/>
          <w:sz w:val="28"/>
          <w:szCs w:val="28"/>
        </w:rPr>
        <w:t>е</w:t>
      </w:r>
      <w:r w:rsidR="00E87FC3" w:rsidRPr="00162C24">
        <w:rPr>
          <w:rFonts w:ascii="Times New Roman" w:hAnsi="Times New Roman"/>
          <w:sz w:val="28"/>
          <w:szCs w:val="28"/>
        </w:rPr>
        <w:t>ниями расходов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Основное мероприятие «Обеспечение жилыми помещени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="00813715" w:rsidRPr="00162C24">
        <w:rPr>
          <w:rFonts w:ascii="Times New Roman" w:hAnsi="Times New Roman" w:cs="Times New Roman"/>
          <w:sz w:val="28"/>
          <w:szCs w:val="28"/>
        </w:rPr>
        <w:t>с</w:t>
      </w:r>
      <w:r w:rsidR="00813715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держание в технически исправном состоянии зданий и сооружений, автом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бильного транспорта, развитие и совершенствование материально-технической базы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пок товаров, работ, услуг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Основное мероприятие «Укрепление </w:t>
      </w:r>
      <w:proofErr w:type="gramStart"/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</w:t>
      </w:r>
      <w:proofErr w:type="spellStart"/>
      <w:r w:rsidR="00FA2191" w:rsidRPr="00162C24">
        <w:rPr>
          <w:rFonts w:ascii="Times New Roman" w:hAnsi="Times New Roman" w:cs="Times New Roman"/>
          <w:sz w:val="28"/>
          <w:szCs w:val="28"/>
        </w:rPr>
        <w:t>техничес</w:t>
      </w:r>
      <w:proofErr w:type="spellEnd"/>
      <w:r w:rsidR="00FA2191" w:rsidRPr="00162C24">
        <w:rPr>
          <w:rFonts w:ascii="Times New Roman" w:hAnsi="Times New Roman" w:cs="Times New Roman"/>
          <w:sz w:val="28"/>
          <w:szCs w:val="28"/>
        </w:rPr>
        <w:t>-кой</w:t>
      </w:r>
      <w:proofErr w:type="gramEnd"/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162C24">
        <w:rPr>
          <w:rFonts w:ascii="Times New Roman" w:hAnsi="Times New Roman" w:cs="Times New Roman"/>
          <w:sz w:val="28"/>
          <w:szCs w:val="28"/>
        </w:rPr>
        <w:t>а</w:t>
      </w:r>
      <w:r w:rsidR="0043509A" w:rsidRPr="00162C24">
        <w:rPr>
          <w:rFonts w:ascii="Times New Roman" w:hAnsi="Times New Roman" w:cs="Times New Roman"/>
          <w:sz w:val="28"/>
          <w:szCs w:val="28"/>
        </w:rPr>
        <w:t>нения архивных документов»</w:t>
      </w:r>
    </w:p>
    <w:p w:rsidR="00535BB4" w:rsidRPr="00162C24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по укреплению материально-технической базы 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Основное мероприятие «Обеспечение подготовки презент</w:t>
      </w:r>
      <w:r w:rsidRPr="00E37B16">
        <w:rPr>
          <w:rFonts w:ascii="Times New Roman" w:hAnsi="Times New Roman" w:cs="Times New Roman"/>
          <w:sz w:val="28"/>
          <w:szCs w:val="28"/>
        </w:rPr>
        <w:t>а</w:t>
      </w:r>
      <w:r w:rsidRPr="00E37B16">
        <w:rPr>
          <w:rFonts w:ascii="Times New Roman" w:hAnsi="Times New Roman" w:cs="Times New Roman"/>
          <w:sz w:val="28"/>
          <w:szCs w:val="28"/>
        </w:rPr>
        <w:t>ционных материалов»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         14 1 02 00000 Основное мероприятие «Обеспечение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</w:t>
      </w:r>
      <w:r w:rsidRPr="00E37B16">
        <w:rPr>
          <w:rFonts w:ascii="Times New Roman" w:hAnsi="Times New Roman" w:cs="Times New Roman"/>
          <w:sz w:val="28"/>
          <w:szCs w:val="28"/>
        </w:rPr>
        <w:t>ч</w:t>
      </w:r>
      <w:r w:rsidRPr="00E37B16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мероприятиях»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Основное мероприятие «Актуализация, изготовление инв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Основное мероприятие «Обеспечение доступа потенциал</w:t>
      </w:r>
      <w:r w:rsidRPr="00F5260B">
        <w:rPr>
          <w:rFonts w:ascii="Times New Roman" w:hAnsi="Times New Roman" w:cs="Times New Roman"/>
          <w:sz w:val="28"/>
          <w:szCs w:val="28"/>
        </w:rPr>
        <w:t>ь</w:t>
      </w:r>
      <w:r w:rsidRPr="00F5260B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площадках»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дующим мероприятиям: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мероприятиям: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Pr="00162C24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16 1 01 00000 Основное мероприятие «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безопасности в муниципальном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никационной инфраструктуры и информационных систем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Pr="00162C24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Основное мероприятие «Обеспечение информационной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крытости органов местного самоуправления и реализации права граждан на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направленности»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мероприятиям: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162C24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 w:rsidRPr="00162C24"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</w:t>
      </w:r>
      <w:r w:rsidR="002B3271" w:rsidRPr="00162C24">
        <w:rPr>
          <w:rFonts w:ascii="Times New Roman" w:hAnsi="Times New Roman" w:cs="Times New Roman"/>
          <w:sz w:val="28"/>
          <w:szCs w:val="28"/>
        </w:rPr>
        <w:t>е</w:t>
      </w:r>
      <w:r w:rsidR="002B3271" w:rsidRPr="00162C24">
        <w:rPr>
          <w:rFonts w:ascii="Times New Roman" w:hAnsi="Times New Roman" w:cs="Times New Roman"/>
          <w:sz w:val="28"/>
          <w:szCs w:val="28"/>
        </w:rPr>
        <w:t>ственных приемов, праздничных дней и памятных дат, проводимые админ</w:t>
      </w:r>
      <w:r w:rsidR="002B3271" w:rsidRPr="00162C24">
        <w:rPr>
          <w:rFonts w:ascii="Times New Roman" w:hAnsi="Times New Roman" w:cs="Times New Roman"/>
          <w:sz w:val="28"/>
          <w:szCs w:val="28"/>
        </w:rPr>
        <w:t>и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D15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17 1 03 00000 Основное мероприятие «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</w:t>
      </w:r>
      <w:r w:rsidR="006645A4" w:rsidRPr="006645A4">
        <w:rPr>
          <w:rFonts w:ascii="Times New Roman" w:hAnsi="Times New Roman" w:cs="Times New Roman"/>
          <w:sz w:val="28"/>
          <w:szCs w:val="28"/>
        </w:rPr>
        <w:t>а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нальных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расходных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Положения о межбюджетных отношениях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977E2E" w:rsidRPr="00162C24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руководителя Контрольно-счетной палаты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 xml:space="preserve">Расходы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субсидии на дополнительную помощь для решения социально значимых вопросов.</w:t>
      </w:r>
    </w:p>
    <w:p w:rsidR="00136E39" w:rsidRPr="00162C24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навливающего расходное обязательство муниципального района, в целях </w:t>
      </w:r>
      <w:proofErr w:type="spellStart"/>
      <w:r w:rsidR="00AD7A3A">
        <w:rPr>
          <w:rFonts w:ascii="Times New Roman" w:hAnsi="Times New Roman" w:cs="Times New Roman"/>
          <w:bCs/>
          <w:sz w:val="28"/>
          <w:szCs w:val="28"/>
        </w:rPr>
        <w:t>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</w:t>
      </w:r>
      <w:proofErr w:type="spellEnd"/>
      <w:r w:rsidR="00AD7A3A">
        <w:rPr>
          <w:rFonts w:ascii="Times New Roman" w:hAnsi="Times New Roman" w:cs="Times New Roman"/>
          <w:bCs/>
          <w:sz w:val="28"/>
          <w:szCs w:val="28"/>
        </w:rPr>
        <w:t xml:space="preserve">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Pr="00162C24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380C8F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</w:t>
      </w:r>
      <w:r w:rsidRPr="00162C24">
        <w:rPr>
          <w:rFonts w:ascii="Times New Roman" w:hAnsi="Times New Roman"/>
          <w:sz w:val="28"/>
          <w:szCs w:val="28"/>
        </w:rPr>
        <w:lastRenderedPageBreak/>
        <w:t>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Pr="00162C24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Pr="00162C24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Pr="00500CB4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lastRenderedPageBreak/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P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Pr="00A1550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F5641A" w:rsidRPr="00162C24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3712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80A3E" w:rsidRPr="00162C24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836EB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97" w:rsidRDefault="00384B97" w:rsidP="00E44E61">
      <w:pPr>
        <w:spacing w:after="0" w:line="240" w:lineRule="auto"/>
      </w:pPr>
      <w:r>
        <w:separator/>
      </w:r>
    </w:p>
  </w:endnote>
  <w:endnote w:type="continuationSeparator" w:id="0">
    <w:p w:rsidR="00384B97" w:rsidRDefault="00384B97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97" w:rsidRDefault="00384B97" w:rsidP="00E44E61">
      <w:pPr>
        <w:spacing w:after="0" w:line="240" w:lineRule="auto"/>
      </w:pPr>
      <w:r>
        <w:separator/>
      </w:r>
    </w:p>
  </w:footnote>
  <w:footnote w:type="continuationSeparator" w:id="0">
    <w:p w:rsidR="00384B97" w:rsidRDefault="00384B97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384B97" w:rsidRDefault="00384B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EBD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384B97" w:rsidRDefault="00384B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E37"/>
    <w:rsid w:val="00014393"/>
    <w:rsid w:val="00020AFD"/>
    <w:rsid w:val="00020FD2"/>
    <w:rsid w:val="00022C70"/>
    <w:rsid w:val="00024919"/>
    <w:rsid w:val="00024C47"/>
    <w:rsid w:val="000266B0"/>
    <w:rsid w:val="000315F2"/>
    <w:rsid w:val="0003200B"/>
    <w:rsid w:val="00033681"/>
    <w:rsid w:val="000379CB"/>
    <w:rsid w:val="00046436"/>
    <w:rsid w:val="00051AF9"/>
    <w:rsid w:val="000529CB"/>
    <w:rsid w:val="00053A6D"/>
    <w:rsid w:val="00055B5B"/>
    <w:rsid w:val="00057F26"/>
    <w:rsid w:val="00060C30"/>
    <w:rsid w:val="00064330"/>
    <w:rsid w:val="000802F2"/>
    <w:rsid w:val="000817DA"/>
    <w:rsid w:val="000854B6"/>
    <w:rsid w:val="0008557B"/>
    <w:rsid w:val="00091118"/>
    <w:rsid w:val="00093487"/>
    <w:rsid w:val="0009483A"/>
    <w:rsid w:val="000A51A8"/>
    <w:rsid w:val="000A5C0B"/>
    <w:rsid w:val="000A7751"/>
    <w:rsid w:val="000B4502"/>
    <w:rsid w:val="000B58E9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C34"/>
    <w:rsid w:val="000E68AD"/>
    <w:rsid w:val="000E7296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653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611F"/>
    <w:rsid w:val="001C62C5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49BB"/>
    <w:rsid w:val="001F4A0C"/>
    <w:rsid w:val="001F4F93"/>
    <w:rsid w:val="001F545D"/>
    <w:rsid w:val="002005FE"/>
    <w:rsid w:val="002022BD"/>
    <w:rsid w:val="00204BAF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649E"/>
    <w:rsid w:val="002A6ECC"/>
    <w:rsid w:val="002A7D18"/>
    <w:rsid w:val="002B1248"/>
    <w:rsid w:val="002B3271"/>
    <w:rsid w:val="002B4421"/>
    <w:rsid w:val="002B7831"/>
    <w:rsid w:val="002B7B65"/>
    <w:rsid w:val="002C2780"/>
    <w:rsid w:val="002C3425"/>
    <w:rsid w:val="002C52BD"/>
    <w:rsid w:val="002D085B"/>
    <w:rsid w:val="002D2178"/>
    <w:rsid w:val="002D6910"/>
    <w:rsid w:val="002D70EE"/>
    <w:rsid w:val="002D727F"/>
    <w:rsid w:val="002E02BB"/>
    <w:rsid w:val="002E718F"/>
    <w:rsid w:val="002F0327"/>
    <w:rsid w:val="002F1C39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608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4011AD"/>
    <w:rsid w:val="00405649"/>
    <w:rsid w:val="004059A0"/>
    <w:rsid w:val="00405D7D"/>
    <w:rsid w:val="004061AC"/>
    <w:rsid w:val="004103CA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417A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54B8"/>
    <w:rsid w:val="004B71D4"/>
    <w:rsid w:val="004C71F7"/>
    <w:rsid w:val="004C73C0"/>
    <w:rsid w:val="004C7BE3"/>
    <w:rsid w:val="004D467B"/>
    <w:rsid w:val="004E1CCB"/>
    <w:rsid w:val="004E30B1"/>
    <w:rsid w:val="004F03BE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E11EA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7C6A"/>
    <w:rsid w:val="006228D7"/>
    <w:rsid w:val="00625F44"/>
    <w:rsid w:val="00626C3E"/>
    <w:rsid w:val="006308E5"/>
    <w:rsid w:val="006412EF"/>
    <w:rsid w:val="00642E52"/>
    <w:rsid w:val="006432DD"/>
    <w:rsid w:val="006436E5"/>
    <w:rsid w:val="00644133"/>
    <w:rsid w:val="006453FF"/>
    <w:rsid w:val="0064775D"/>
    <w:rsid w:val="00647A0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41D1"/>
    <w:rsid w:val="006748AB"/>
    <w:rsid w:val="00681155"/>
    <w:rsid w:val="00690A55"/>
    <w:rsid w:val="00692664"/>
    <w:rsid w:val="006A417C"/>
    <w:rsid w:val="006A602B"/>
    <w:rsid w:val="006A6302"/>
    <w:rsid w:val="006A64D0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7AE5"/>
    <w:rsid w:val="0076020A"/>
    <w:rsid w:val="00760251"/>
    <w:rsid w:val="007606B1"/>
    <w:rsid w:val="00764512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C0396"/>
    <w:rsid w:val="007C6DE8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E60"/>
    <w:rsid w:val="007F4C28"/>
    <w:rsid w:val="007F66B6"/>
    <w:rsid w:val="00801606"/>
    <w:rsid w:val="00803487"/>
    <w:rsid w:val="008043ED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295C"/>
    <w:rsid w:val="00884534"/>
    <w:rsid w:val="008A0795"/>
    <w:rsid w:val="008A0EF6"/>
    <w:rsid w:val="008A32F6"/>
    <w:rsid w:val="008A3D2A"/>
    <w:rsid w:val="008A4F34"/>
    <w:rsid w:val="008A6D26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4030"/>
    <w:rsid w:val="008F5D6E"/>
    <w:rsid w:val="00902848"/>
    <w:rsid w:val="00907A5A"/>
    <w:rsid w:val="0091004F"/>
    <w:rsid w:val="00910F91"/>
    <w:rsid w:val="009119F6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A3E"/>
    <w:rsid w:val="00953302"/>
    <w:rsid w:val="00955C7F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280A"/>
    <w:rsid w:val="00A14CFF"/>
    <w:rsid w:val="00A1550A"/>
    <w:rsid w:val="00A31D62"/>
    <w:rsid w:val="00A3453B"/>
    <w:rsid w:val="00A36F72"/>
    <w:rsid w:val="00A378DB"/>
    <w:rsid w:val="00A44EA6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4A89"/>
    <w:rsid w:val="00A8571E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AB"/>
    <w:rsid w:val="00AC06DD"/>
    <w:rsid w:val="00AC22E9"/>
    <w:rsid w:val="00AC5731"/>
    <w:rsid w:val="00AD0140"/>
    <w:rsid w:val="00AD1015"/>
    <w:rsid w:val="00AD1964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452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3FAC"/>
    <w:rsid w:val="00BB426F"/>
    <w:rsid w:val="00BB55C5"/>
    <w:rsid w:val="00BB6C84"/>
    <w:rsid w:val="00BC244A"/>
    <w:rsid w:val="00BC2602"/>
    <w:rsid w:val="00BC370D"/>
    <w:rsid w:val="00BD10C1"/>
    <w:rsid w:val="00BD5B52"/>
    <w:rsid w:val="00BD66A7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2957"/>
    <w:rsid w:val="00CA4CDD"/>
    <w:rsid w:val="00CA505B"/>
    <w:rsid w:val="00CA691A"/>
    <w:rsid w:val="00CB01B8"/>
    <w:rsid w:val="00CB3D27"/>
    <w:rsid w:val="00CB7D22"/>
    <w:rsid w:val="00CC35F8"/>
    <w:rsid w:val="00CC5DB5"/>
    <w:rsid w:val="00CD3175"/>
    <w:rsid w:val="00CD49CA"/>
    <w:rsid w:val="00CF4FAC"/>
    <w:rsid w:val="00D015DC"/>
    <w:rsid w:val="00D0466D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6AD5"/>
    <w:rsid w:val="00D541EE"/>
    <w:rsid w:val="00D54294"/>
    <w:rsid w:val="00D5627E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F1FA7"/>
    <w:rsid w:val="00DF6F69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81384"/>
    <w:rsid w:val="00E8193E"/>
    <w:rsid w:val="00E82178"/>
    <w:rsid w:val="00E87FC3"/>
    <w:rsid w:val="00E96E1E"/>
    <w:rsid w:val="00EA0A44"/>
    <w:rsid w:val="00EA0CCE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2DF9"/>
    <w:rsid w:val="00EE4ECB"/>
    <w:rsid w:val="00EE5292"/>
    <w:rsid w:val="00EF162F"/>
    <w:rsid w:val="00EF2C66"/>
    <w:rsid w:val="00EF758B"/>
    <w:rsid w:val="00F0301A"/>
    <w:rsid w:val="00F04639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428E9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80A58"/>
    <w:rsid w:val="00F8120C"/>
    <w:rsid w:val="00F82522"/>
    <w:rsid w:val="00F8302E"/>
    <w:rsid w:val="00F831E1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1235-E1BA-48CB-BF45-5EEED958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48</Pages>
  <Words>16683</Words>
  <Characters>95096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25</cp:revision>
  <cp:lastPrinted>2019-09-06T05:07:00Z</cp:lastPrinted>
  <dcterms:created xsi:type="dcterms:W3CDTF">2019-08-29T10:36:00Z</dcterms:created>
  <dcterms:modified xsi:type="dcterms:W3CDTF">2019-09-06T05:17:00Z</dcterms:modified>
</cp:coreProperties>
</file>