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076C05" w:rsidRPr="00076C05" w:rsidRDefault="00EB5C47" w:rsidP="00087338">
            <w:pPr>
              <w:jc w:val="center"/>
              <w:outlineLvl w:val="0"/>
              <w:rPr>
                <w:rFonts w:ascii="Times New Roman" w:hAnsi="Times New Roman" w:cs="Times New Roman"/>
                <w:sz w:val="24"/>
                <w:szCs w:val="24"/>
              </w:rPr>
            </w:pPr>
            <w:r w:rsidRPr="004F4A77">
              <w:rPr>
                <w:rFonts w:ascii="Times New Roman" w:hAnsi="Times New Roman" w:cs="Times New Roman"/>
                <w:sz w:val="24"/>
                <w:szCs w:val="24"/>
              </w:rPr>
              <w:t xml:space="preserve">проекту </w:t>
            </w:r>
            <w:r w:rsidR="004F4A77" w:rsidRPr="004F4A77">
              <w:rPr>
                <w:rFonts w:ascii="Times New Roman" w:hAnsi="Times New Roman" w:cs="Times New Roman"/>
                <w:sz w:val="24"/>
                <w:szCs w:val="24"/>
              </w:rPr>
              <w:t>решения Совета муниципального образования Тимашевский район «</w:t>
            </w:r>
            <w:r w:rsidR="004F4A77" w:rsidRPr="004F4A77">
              <w:rPr>
                <w:rFonts w:ascii="Times New Roman" w:eastAsia="Tahoma" w:hAnsi="Times New Roman" w:cs="Times New Roman"/>
                <w:sz w:val="24"/>
                <w:szCs w:val="24"/>
              </w:rPr>
              <w:t>О внесении изменений в решение Совета муниципального образования Тимашевский район от 17 июня 2015 г. № 514 «Об утверждении местных нормативов градостроительного проектирования Тимашевский район»</w:t>
            </w:r>
            <w:r w:rsidR="004F4A77" w:rsidRPr="004F4A77">
              <w:rPr>
                <w:rFonts w:ascii="Times New Roman" w:hAnsi="Times New Roman" w:cs="Times New Roman"/>
                <w:sz w:val="24"/>
                <w:szCs w:val="24"/>
              </w:rPr>
              <w:t xml:space="preserve"> </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4F4A77">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4F4A77">
              <w:rPr>
                <w:rFonts w:ascii="Times New Roman" w:hAnsi="Times New Roman" w:cs="Times New Roman"/>
                <w:sz w:val="24"/>
                <w:szCs w:val="24"/>
              </w:rPr>
              <w:t xml:space="preserve">6 июня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076C05">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C5" w:rsidRDefault="005C6CC5" w:rsidP="00840B1E">
      <w:pPr>
        <w:spacing w:after="0" w:line="240" w:lineRule="auto"/>
      </w:pPr>
      <w:r>
        <w:separator/>
      </w:r>
    </w:p>
  </w:endnote>
  <w:endnote w:type="continuationSeparator" w:id="0">
    <w:p w:rsidR="005C6CC5" w:rsidRDefault="005C6CC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C5" w:rsidRDefault="005C6CC5" w:rsidP="00840B1E">
      <w:pPr>
        <w:spacing w:after="0" w:line="240" w:lineRule="auto"/>
      </w:pPr>
      <w:r>
        <w:separator/>
      </w:r>
    </w:p>
  </w:footnote>
  <w:footnote w:type="continuationSeparator" w:id="0">
    <w:p w:rsidR="005C6CC5" w:rsidRDefault="005C6CC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F4A77">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87338"/>
    <w:rsid w:val="00096D41"/>
    <w:rsid w:val="000A5C71"/>
    <w:rsid w:val="000B3DB2"/>
    <w:rsid w:val="000C1A15"/>
    <w:rsid w:val="000D02A4"/>
    <w:rsid w:val="000E7BF0"/>
    <w:rsid w:val="000F41C0"/>
    <w:rsid w:val="00101B9C"/>
    <w:rsid w:val="00104F5C"/>
    <w:rsid w:val="00104FCD"/>
    <w:rsid w:val="00112FAD"/>
    <w:rsid w:val="001171BA"/>
    <w:rsid w:val="00120834"/>
    <w:rsid w:val="00135D1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4F4A77"/>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C6CC5"/>
    <w:rsid w:val="005D42F5"/>
    <w:rsid w:val="005E3222"/>
    <w:rsid w:val="005F3205"/>
    <w:rsid w:val="0061588F"/>
    <w:rsid w:val="00616BC0"/>
    <w:rsid w:val="00617D1F"/>
    <w:rsid w:val="00624335"/>
    <w:rsid w:val="006372C4"/>
    <w:rsid w:val="00645FFC"/>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69A5"/>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43EA"/>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47676"/>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CE17-4B06-4F64-84DE-D5AC8737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216</cp:revision>
  <dcterms:created xsi:type="dcterms:W3CDTF">2015-03-03T07:14:00Z</dcterms:created>
  <dcterms:modified xsi:type="dcterms:W3CDTF">2022-05-20T13:49:00Z</dcterms:modified>
</cp:coreProperties>
</file>