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5F3205" w:rsidRDefault="00EB5C47" w:rsidP="007D40C6">
            <w:pPr>
              <w:pStyle w:val="ConsPlusNonformat"/>
              <w:jc w:val="center"/>
              <w:rPr>
                <w:rFonts w:ascii="Times New Roman" w:hAnsi="Times New Roman" w:cs="Times New Roman"/>
                <w:bCs/>
                <w:color w:val="000000"/>
                <w:sz w:val="24"/>
                <w:szCs w:val="24"/>
              </w:rPr>
            </w:pPr>
            <w:r w:rsidRPr="007D40C6">
              <w:rPr>
                <w:rFonts w:ascii="Times New Roman" w:hAnsi="Times New Roman" w:cs="Times New Roman"/>
                <w:sz w:val="24"/>
                <w:szCs w:val="24"/>
              </w:rPr>
              <w:t xml:space="preserve">проекту </w:t>
            </w:r>
            <w:r w:rsidR="00701852" w:rsidRPr="007D40C6">
              <w:rPr>
                <w:rFonts w:ascii="Times New Roman" w:hAnsi="Times New Roman" w:cs="Times New Roman"/>
                <w:sz w:val="24"/>
                <w:szCs w:val="24"/>
              </w:rPr>
              <w:t xml:space="preserve">обсуждения   </w:t>
            </w:r>
            <w:r w:rsidR="00701852" w:rsidRPr="005F3205">
              <w:rPr>
                <w:rFonts w:ascii="Times New Roman" w:hAnsi="Times New Roman" w:cs="Times New Roman"/>
                <w:sz w:val="24"/>
                <w:szCs w:val="24"/>
              </w:rPr>
              <w:t xml:space="preserve">проекта </w:t>
            </w:r>
            <w:r w:rsidR="005F3205" w:rsidRPr="005F3205">
              <w:rPr>
                <w:rFonts w:ascii="Times New Roman" w:hAnsi="Times New Roman" w:cs="Times New Roman"/>
                <w:sz w:val="24"/>
                <w:szCs w:val="24"/>
              </w:rPr>
              <w:t xml:space="preserve">решения Совета муниципального образования Тимашевский район </w:t>
            </w:r>
            <w:r w:rsidR="005F3205" w:rsidRPr="005F3205">
              <w:rPr>
                <w:rFonts w:ascii="Times New Roman" w:hAnsi="Times New Roman" w:cs="Times New Roman"/>
                <w:bCs/>
                <w:color w:val="000000"/>
                <w:sz w:val="24"/>
                <w:szCs w:val="24"/>
              </w:rPr>
              <w:t>«Об утверждении Положения о муниципальном земельном контроле»</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5F3205">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5F3205">
              <w:rPr>
                <w:rFonts w:ascii="Times New Roman" w:hAnsi="Times New Roman" w:cs="Times New Roman"/>
                <w:sz w:val="24"/>
                <w:szCs w:val="24"/>
              </w:rPr>
              <w:t xml:space="preserve">9 ноября </w:t>
            </w:r>
            <w:bookmarkStart w:id="0" w:name="_GoBack"/>
            <w:bookmarkEnd w:id="0"/>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 xml:space="preserve">удут </w:t>
      </w:r>
      <w:r w:rsidRPr="0092457C">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EA" w:rsidRDefault="00DA6AEA" w:rsidP="00840B1E">
      <w:pPr>
        <w:spacing w:after="0" w:line="240" w:lineRule="auto"/>
      </w:pPr>
      <w:r>
        <w:separator/>
      </w:r>
    </w:p>
  </w:endnote>
  <w:endnote w:type="continuationSeparator" w:id="0">
    <w:p w:rsidR="00DA6AEA" w:rsidRDefault="00DA6AEA"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EA" w:rsidRDefault="00DA6AEA" w:rsidP="00840B1E">
      <w:pPr>
        <w:spacing w:after="0" w:line="240" w:lineRule="auto"/>
      </w:pPr>
      <w:r>
        <w:separator/>
      </w:r>
    </w:p>
  </w:footnote>
  <w:footnote w:type="continuationSeparator" w:id="0">
    <w:p w:rsidR="00DA6AEA" w:rsidRDefault="00DA6AEA"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F3205">
          <w:rPr>
            <w:noProof/>
          </w:rPr>
          <w:t>3</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5F3205"/>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A6AEA"/>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DAD0-73FF-46B3-B806-A77E65B5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4</Pages>
  <Words>1077</Words>
  <Characters>6143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208</cp:revision>
  <dcterms:created xsi:type="dcterms:W3CDTF">2015-03-03T07:14:00Z</dcterms:created>
  <dcterms:modified xsi:type="dcterms:W3CDTF">2021-10-25T15:08:00Z</dcterms:modified>
</cp:coreProperties>
</file>