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26" w:rsidRPr="00085DF8" w:rsidRDefault="00953626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Исполняющему обязанности</w:t>
      </w:r>
    </w:p>
    <w:p w:rsidR="00DC390B" w:rsidRPr="00085DF8" w:rsidRDefault="00085DF8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н</w:t>
      </w:r>
      <w:r w:rsidR="00DC390B" w:rsidRPr="00085DF8">
        <w:rPr>
          <w:sz w:val="28"/>
          <w:szCs w:val="28"/>
        </w:rPr>
        <w:t>ачальник</w:t>
      </w:r>
      <w:r w:rsidRPr="00085DF8">
        <w:rPr>
          <w:sz w:val="28"/>
          <w:szCs w:val="28"/>
        </w:rPr>
        <w:t>а</w:t>
      </w:r>
      <w:r w:rsidR="00DC390B" w:rsidRPr="00085DF8">
        <w:rPr>
          <w:sz w:val="28"/>
          <w:szCs w:val="28"/>
        </w:rPr>
        <w:t xml:space="preserve"> отдела архитектуры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 xml:space="preserve">и градостроительства 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администрации муниципального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образования Тимашевский район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085DF8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Кравченко Л.В.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1</w:t>
      </w:r>
      <w:r w:rsidR="00305DE6" w:rsidRPr="00DC390B">
        <w:rPr>
          <w:sz w:val="28"/>
          <w:szCs w:val="28"/>
        </w:rPr>
        <w:t>/</w:t>
      </w:r>
      <w:r w:rsidR="00404B14">
        <w:rPr>
          <w:sz w:val="28"/>
          <w:szCs w:val="28"/>
        </w:rPr>
        <w:t>35</w:t>
      </w:r>
      <w:bookmarkStart w:id="0" w:name="_GoBack"/>
      <w:bookmarkEnd w:id="0"/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403C6B" w:rsidRPr="00DC390B">
        <w:rPr>
          <w:sz w:val="28"/>
          <w:szCs w:val="28"/>
        </w:rPr>
        <w:t xml:space="preserve">21 февраля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403C6B" w:rsidRPr="00DC390B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39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6D1EDC" w:rsidRPr="00DC390B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390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DC390B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Pr="00DC390B">
        <w:rPr>
          <w:rFonts w:ascii="Times New Roman" w:hAnsi="Times New Roman" w:cs="Times New Roman"/>
          <w:sz w:val="28"/>
          <w:szCs w:val="28"/>
        </w:rPr>
        <w:t>»</w:t>
      </w:r>
    </w:p>
    <w:p w:rsidR="00403C6B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403C6B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9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403C6B">
        <w:rPr>
          <w:rFonts w:ascii="Times New Roman" w:hAnsi="Times New Roman" w:cs="Times New Roman"/>
          <w:sz w:val="28"/>
          <w:szCs w:val="28"/>
        </w:rPr>
        <w:t>О</w:t>
      </w:r>
      <w:r w:rsidR="00DA5835" w:rsidRPr="00403C6B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403C6B">
        <w:rPr>
          <w:rFonts w:ascii="Times New Roman" w:hAnsi="Times New Roman" w:cs="Times New Roman"/>
          <w:sz w:val="28"/>
          <w:szCs w:val="28"/>
        </w:rPr>
        <w:t>,</w:t>
      </w:r>
      <w:r w:rsidR="00DA5835" w:rsidRPr="00403C6B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03C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403C6B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403C6B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403C6B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03C6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403C6B">
        <w:rPr>
          <w:rFonts w:ascii="Times New Roman" w:hAnsi="Times New Roman" w:cs="Times New Roman"/>
          <w:sz w:val="28"/>
          <w:szCs w:val="28"/>
        </w:rPr>
        <w:t>-</w:t>
      </w:r>
      <w:r w:rsidR="00653AEF" w:rsidRPr="00403C6B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403C6B">
        <w:rPr>
          <w:rFonts w:ascii="Times New Roman" w:hAnsi="Times New Roman" w:cs="Times New Roman"/>
          <w:sz w:val="28"/>
          <w:szCs w:val="28"/>
        </w:rPr>
        <w:t>,</w:t>
      </w:r>
      <w:r w:rsidR="00653AEF" w:rsidRPr="00403C6B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403C6B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A10936" w:rsidRPr="00403C6B">
        <w:rPr>
          <w:rFonts w:ascii="Times New Roman" w:hAnsi="Times New Roman" w:cs="Times New Roman"/>
          <w:sz w:val="28"/>
          <w:szCs w:val="28"/>
        </w:rPr>
        <w:t xml:space="preserve">3 </w:t>
      </w:r>
      <w:r w:rsidR="00403C6B" w:rsidRPr="00403C6B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403C6B">
        <w:rPr>
          <w:rFonts w:ascii="Times New Roman" w:hAnsi="Times New Roman" w:cs="Times New Roman"/>
          <w:sz w:val="28"/>
          <w:szCs w:val="28"/>
        </w:rPr>
        <w:t>20</w:t>
      </w:r>
      <w:r w:rsidR="00403C6B" w:rsidRPr="00403C6B">
        <w:rPr>
          <w:rFonts w:ascii="Times New Roman" w:hAnsi="Times New Roman" w:cs="Times New Roman"/>
          <w:sz w:val="28"/>
          <w:szCs w:val="28"/>
        </w:rPr>
        <w:t>20</w:t>
      </w:r>
      <w:r w:rsidR="00516B94" w:rsidRPr="00403C6B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403C6B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403C6B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403C6B">
        <w:rPr>
          <w:rFonts w:ascii="Times New Roman" w:hAnsi="Times New Roman" w:cs="Times New Roman"/>
          <w:sz w:val="28"/>
          <w:szCs w:val="28"/>
        </w:rPr>
        <w:t xml:space="preserve"> </w:t>
      </w:r>
      <w:r w:rsidR="00403C6B" w:rsidRPr="00403C6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03C6B" w:rsidRPr="00403C6B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403C6B" w:rsidRPr="00403C6B">
        <w:rPr>
          <w:rFonts w:ascii="Times New Roman" w:hAnsi="Times New Roman" w:cs="Times New Roman"/>
          <w:sz w:val="28"/>
          <w:szCs w:val="28"/>
        </w:rPr>
        <w:t>»</w:t>
      </w:r>
      <w:r w:rsidRPr="00403C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403C6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03C6B">
        <w:rPr>
          <w:rFonts w:ascii="Times New Roman" w:hAnsi="Times New Roman" w:cs="Times New Roman"/>
          <w:sz w:val="28"/>
          <w:szCs w:val="28"/>
        </w:rPr>
        <w:t>П</w:t>
      </w:r>
      <w:r w:rsidR="00516B94" w:rsidRPr="00403C6B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03C6B">
        <w:rPr>
          <w:rFonts w:ascii="Times New Roman" w:hAnsi="Times New Roman" w:cs="Times New Roman"/>
          <w:sz w:val="28"/>
          <w:szCs w:val="28"/>
        </w:rPr>
        <w:t>)</w:t>
      </w:r>
      <w:r w:rsidR="00710892" w:rsidRPr="00403C6B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403C6B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403C6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403C6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403C6B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03C6B">
        <w:rPr>
          <w:rFonts w:ascii="Times New Roman" w:hAnsi="Times New Roman" w:cs="Times New Roman"/>
          <w:sz w:val="28"/>
          <w:szCs w:val="28"/>
        </w:rPr>
        <w:t>.</w:t>
      </w:r>
    </w:p>
    <w:p w:rsidR="0059550A" w:rsidRPr="00814959" w:rsidRDefault="00653AEF" w:rsidP="00653AEF">
      <w:pPr>
        <w:ind w:firstLine="708"/>
        <w:jc w:val="both"/>
        <w:rPr>
          <w:sz w:val="28"/>
          <w:szCs w:val="28"/>
        </w:rPr>
      </w:pPr>
      <w:r w:rsidRPr="00814959">
        <w:rPr>
          <w:sz w:val="28"/>
          <w:szCs w:val="28"/>
        </w:rPr>
        <w:t xml:space="preserve">В соответствии с </w:t>
      </w:r>
      <w:r w:rsidR="00F243D7" w:rsidRPr="00814959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81495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814959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814959">
        <w:rPr>
          <w:sz w:val="28"/>
          <w:szCs w:val="28"/>
        </w:rPr>
        <w:t>(далее</w:t>
      </w:r>
      <w:r w:rsidR="002768B4" w:rsidRPr="00814959">
        <w:rPr>
          <w:sz w:val="28"/>
          <w:szCs w:val="28"/>
        </w:rPr>
        <w:t xml:space="preserve"> – Порядок)</w:t>
      </w:r>
      <w:r w:rsidR="00242F28" w:rsidRPr="00814959">
        <w:rPr>
          <w:sz w:val="28"/>
          <w:szCs w:val="28"/>
        </w:rPr>
        <w:t xml:space="preserve"> проект </w:t>
      </w:r>
      <w:r w:rsidR="002768B4" w:rsidRPr="00814959">
        <w:rPr>
          <w:sz w:val="28"/>
          <w:szCs w:val="28"/>
        </w:rPr>
        <w:t>подлежит проведению оценк</w:t>
      </w:r>
      <w:r w:rsidR="00813A4F" w:rsidRPr="00814959">
        <w:rPr>
          <w:sz w:val="28"/>
          <w:szCs w:val="28"/>
        </w:rPr>
        <w:t>и</w:t>
      </w:r>
      <w:r w:rsidR="002768B4" w:rsidRPr="00814959">
        <w:rPr>
          <w:sz w:val="28"/>
          <w:szCs w:val="28"/>
        </w:rPr>
        <w:t xml:space="preserve"> регулирующего воздейс</w:t>
      </w:r>
      <w:r w:rsidR="00813A4F" w:rsidRPr="00814959">
        <w:rPr>
          <w:sz w:val="28"/>
          <w:szCs w:val="28"/>
        </w:rPr>
        <w:t>т</w:t>
      </w:r>
      <w:r w:rsidR="002768B4" w:rsidRPr="00814959">
        <w:rPr>
          <w:sz w:val="28"/>
          <w:szCs w:val="28"/>
        </w:rPr>
        <w:t>вия.</w:t>
      </w:r>
    </w:p>
    <w:p w:rsidR="00EF5238" w:rsidRPr="00814959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959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814959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814959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81495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14959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81495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1495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81495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14959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814959">
        <w:rPr>
          <w:rFonts w:eastAsiaTheme="minorEastAsia"/>
          <w:sz w:val="28"/>
          <w:szCs w:val="28"/>
        </w:rPr>
        <w:t xml:space="preserve"> </w:t>
      </w:r>
      <w:r w:rsidRPr="0081495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814959">
        <w:rPr>
          <w:rFonts w:eastAsiaTheme="minorEastAsia"/>
          <w:sz w:val="28"/>
          <w:szCs w:val="28"/>
        </w:rPr>
        <w:t xml:space="preserve">регулирующим органом </w:t>
      </w:r>
      <w:r w:rsidRPr="00814959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DE5787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DE5787">
        <w:rPr>
          <w:rFonts w:ascii="Times New Roman" w:hAnsi="Times New Roman" w:cs="Times New Roman"/>
          <w:sz w:val="28"/>
          <w:szCs w:val="28"/>
        </w:rPr>
        <w:t>Р</w:t>
      </w:r>
      <w:r w:rsidR="00722999" w:rsidRPr="00DE5787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DE5787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DE578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DE5787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DE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DE578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DE5787" w:rsidRPr="00DE5787">
        <w:rPr>
          <w:rFonts w:ascii="Times New Roman" w:hAnsi="Times New Roman" w:cs="Times New Roman"/>
          <w:sz w:val="28"/>
          <w:szCs w:val="28"/>
        </w:rPr>
        <w:t>«</w:t>
      </w:r>
      <w:r w:rsidR="00DE5787" w:rsidRPr="00DE5787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DE5787" w:rsidRPr="00DE57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6D89" w:rsidRPr="00DE578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E5787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E5787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DE578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E5787">
        <w:rPr>
          <w:rFonts w:ascii="Times New Roman" w:hAnsi="Times New Roman" w:cs="Times New Roman"/>
          <w:sz w:val="28"/>
          <w:szCs w:val="28"/>
        </w:rPr>
        <w:t>ой</w:t>
      </w:r>
      <w:r w:rsidR="005A6E6C" w:rsidRPr="00DE578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E5787">
        <w:rPr>
          <w:rFonts w:ascii="Times New Roman" w:hAnsi="Times New Roman" w:cs="Times New Roman"/>
          <w:sz w:val="28"/>
          <w:szCs w:val="28"/>
        </w:rPr>
        <w:t>и</w:t>
      </w:r>
      <w:r w:rsidR="005A6E6C" w:rsidRPr="00DE578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E578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DE5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E578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E578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E5787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DE5787">
        <w:rPr>
          <w:rFonts w:eastAsiaTheme="minorEastAsia"/>
          <w:sz w:val="28"/>
          <w:szCs w:val="28"/>
        </w:rPr>
        <w:t>основанн</w:t>
      </w:r>
      <w:r w:rsidR="00FC22E3" w:rsidRPr="00DE5787">
        <w:rPr>
          <w:rFonts w:eastAsiaTheme="minorEastAsia"/>
          <w:sz w:val="28"/>
          <w:szCs w:val="28"/>
        </w:rPr>
        <w:t>ого</w:t>
      </w:r>
      <w:r w:rsidRPr="00DE578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E5787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DE5787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E5787">
        <w:rPr>
          <w:rFonts w:ascii="Times New Roman" w:hAnsi="Times New Roman" w:cs="Times New Roman"/>
          <w:sz w:val="28"/>
          <w:szCs w:val="28"/>
        </w:rPr>
        <w:t>п</w:t>
      </w:r>
      <w:r w:rsidR="00A513C3" w:rsidRPr="00DE578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E578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E5787">
        <w:rPr>
          <w:rFonts w:ascii="Times New Roman" w:hAnsi="Times New Roman" w:cs="Times New Roman"/>
          <w:sz w:val="28"/>
          <w:szCs w:val="28"/>
        </w:rPr>
        <w:t>;</w:t>
      </w:r>
    </w:p>
    <w:p w:rsidR="00DE5787" w:rsidRPr="00D32F30" w:rsidRDefault="00EE5EFA" w:rsidP="00DE5787">
      <w:pPr>
        <w:ind w:firstLine="709"/>
        <w:jc w:val="both"/>
        <w:rPr>
          <w:rFonts w:eastAsia="Tahoma"/>
          <w:sz w:val="28"/>
          <w:szCs w:val="28"/>
        </w:rPr>
      </w:pPr>
      <w:r w:rsidRPr="00DF74E0">
        <w:rPr>
          <w:sz w:val="28"/>
          <w:szCs w:val="28"/>
        </w:rPr>
        <w:t>2</w:t>
      </w:r>
      <w:r w:rsidR="0098698D" w:rsidRPr="00DF74E0">
        <w:rPr>
          <w:sz w:val="28"/>
          <w:szCs w:val="28"/>
        </w:rPr>
        <w:t xml:space="preserve">. </w:t>
      </w:r>
      <w:r w:rsidR="00A513C3" w:rsidRPr="00DF74E0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DF74E0">
        <w:rPr>
          <w:sz w:val="28"/>
          <w:szCs w:val="28"/>
        </w:rPr>
        <w:t>вания:</w:t>
      </w:r>
      <w:r w:rsidR="00F172F2" w:rsidRPr="00DF74E0">
        <w:rPr>
          <w:sz w:val="28"/>
          <w:szCs w:val="28"/>
        </w:rPr>
        <w:t xml:space="preserve"> </w:t>
      </w:r>
      <w:r w:rsidR="006F33E6" w:rsidRPr="00DF74E0">
        <w:rPr>
          <w:sz w:val="28"/>
          <w:szCs w:val="28"/>
        </w:rPr>
        <w:t xml:space="preserve"> </w:t>
      </w:r>
      <w:r w:rsidR="00DE5787" w:rsidRPr="00DF74E0">
        <w:rPr>
          <w:rFonts w:eastAsia="Tahoma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</w:t>
      </w:r>
      <w:r w:rsidR="00DE5787" w:rsidRPr="00D32F30">
        <w:rPr>
          <w:rFonts w:eastAsia="Tahoma"/>
          <w:sz w:val="28"/>
          <w:szCs w:val="28"/>
        </w:rPr>
        <w:t xml:space="preserve"> либо их уполномоченные представители (далее – заявитель, заявители).</w:t>
      </w:r>
    </w:p>
    <w:p w:rsidR="00DE5787" w:rsidRDefault="00DE5787" w:rsidP="00DE5787">
      <w:pPr>
        <w:ind w:firstLine="709"/>
        <w:jc w:val="both"/>
        <w:rPr>
          <w:sz w:val="28"/>
          <w:szCs w:val="28"/>
          <w:highlight w:val="yellow"/>
        </w:rPr>
      </w:pPr>
      <w:r w:rsidRPr="00D32F30">
        <w:rPr>
          <w:rFonts w:eastAsia="Tahoma"/>
          <w:sz w:val="28"/>
          <w:szCs w:val="28"/>
        </w:rPr>
        <w:t xml:space="preserve"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муниципального заказчика </w:t>
      </w:r>
      <w:r w:rsidRPr="00D32F30">
        <w:rPr>
          <w:rFonts w:eastAsia="Verdana"/>
          <w:sz w:val="28"/>
          <w:szCs w:val="28"/>
        </w:rPr>
        <w:t xml:space="preserve">или которому в соответствии со </w:t>
      </w:r>
      <w:hyperlink r:id="rId8" w:history="1">
        <w:r w:rsidRPr="00D32F30">
          <w:rPr>
            <w:rFonts w:eastAsia="Verdana"/>
            <w:color w:val="000000" w:themeColor="text1"/>
            <w:sz w:val="28"/>
            <w:szCs w:val="28"/>
          </w:rPr>
          <w:t>статьей 13.3</w:t>
        </w:r>
      </w:hyperlink>
      <w:r w:rsidRPr="00D32F30">
        <w:rPr>
          <w:rFonts w:eastAsia="Verdana"/>
          <w:sz w:val="28"/>
          <w:szCs w:val="28"/>
        </w:rPr>
        <w:t xml:space="preserve"> Федерального закона от 29 июля 2017 г.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передали на основании соглашений свои функции застройщика) </w:t>
      </w:r>
      <w:r w:rsidRPr="00D32F30">
        <w:rPr>
          <w:rFonts w:eastAsia="Tahoma"/>
          <w:sz w:val="28"/>
          <w:szCs w:val="28"/>
        </w:rPr>
        <w:t>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</w:t>
      </w:r>
    </w:p>
    <w:p w:rsidR="00B66716" w:rsidRPr="00DE5787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/>
          <w:sz w:val="28"/>
          <w:szCs w:val="28"/>
        </w:rPr>
        <w:t xml:space="preserve">     </w:t>
      </w:r>
      <w:r w:rsidR="0098698D" w:rsidRPr="00DE5787">
        <w:rPr>
          <w:rFonts w:ascii="Times New Roman" w:hAnsi="Times New Roman"/>
          <w:sz w:val="28"/>
          <w:szCs w:val="28"/>
        </w:rPr>
        <w:t xml:space="preserve"> </w:t>
      </w:r>
      <w:r w:rsidRPr="00DE5787">
        <w:rPr>
          <w:rFonts w:ascii="Times New Roman" w:hAnsi="Times New Roman"/>
          <w:sz w:val="28"/>
          <w:szCs w:val="28"/>
        </w:rPr>
        <w:t xml:space="preserve"> </w:t>
      </w:r>
      <w:r w:rsidR="0098698D" w:rsidRPr="00DE5787">
        <w:rPr>
          <w:rFonts w:ascii="Times New Roman" w:hAnsi="Times New Roman"/>
          <w:sz w:val="28"/>
          <w:szCs w:val="28"/>
        </w:rPr>
        <w:t xml:space="preserve">3. </w:t>
      </w:r>
      <w:r w:rsidR="00B66716" w:rsidRPr="00DE5787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DE5787">
        <w:rPr>
          <w:rFonts w:ascii="Times New Roman" w:hAnsi="Times New Roman" w:cs="Times New Roman"/>
          <w:sz w:val="28"/>
          <w:szCs w:val="28"/>
        </w:rPr>
        <w:t>ая</w:t>
      </w:r>
      <w:r w:rsidR="00B66716" w:rsidRPr="00DE578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DE5787">
        <w:rPr>
          <w:rFonts w:ascii="Times New Roman" w:hAnsi="Times New Roman" w:cs="Times New Roman"/>
          <w:sz w:val="28"/>
          <w:szCs w:val="28"/>
        </w:rPr>
        <w:t>а</w:t>
      </w:r>
      <w:r w:rsidR="00B66716" w:rsidRPr="00DE5787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DE5787">
        <w:rPr>
          <w:rFonts w:ascii="Times New Roman" w:hAnsi="Times New Roman" w:cs="Times New Roman"/>
          <w:sz w:val="28"/>
          <w:szCs w:val="28"/>
        </w:rPr>
        <w:t xml:space="preserve">участников не ограничена. Определить точное </w:t>
      </w:r>
      <w:r w:rsidR="006F33E6" w:rsidRPr="00DE5787">
        <w:rPr>
          <w:rFonts w:ascii="Times New Roman" w:hAnsi="Times New Roman" w:cs="Times New Roman"/>
          <w:sz w:val="28"/>
          <w:szCs w:val="28"/>
        </w:rPr>
        <w:lastRenderedPageBreak/>
        <w:t>количество не представляется возможным.</w:t>
      </w:r>
    </w:p>
    <w:p w:rsidR="00B66716" w:rsidRPr="00DE5787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DE5787">
        <w:rPr>
          <w:rFonts w:ascii="Times New Roman" w:hAnsi="Times New Roman" w:cs="Times New Roman"/>
          <w:sz w:val="28"/>
          <w:szCs w:val="28"/>
        </w:rPr>
        <w:t>цел</w:t>
      </w:r>
      <w:r w:rsidR="00184E7E" w:rsidRPr="00DE5787">
        <w:rPr>
          <w:rFonts w:ascii="Times New Roman" w:hAnsi="Times New Roman" w:cs="Times New Roman"/>
          <w:sz w:val="28"/>
          <w:szCs w:val="28"/>
        </w:rPr>
        <w:t>ь</w:t>
      </w:r>
      <w:r w:rsidR="00B66716" w:rsidRPr="00DE5787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E5787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DE5787">
        <w:rPr>
          <w:rFonts w:ascii="Times New Roman" w:hAnsi="Times New Roman" w:cs="Times New Roman"/>
          <w:sz w:val="28"/>
          <w:szCs w:val="28"/>
        </w:rPr>
        <w:t>;</w:t>
      </w:r>
    </w:p>
    <w:p w:rsidR="00B66716" w:rsidRPr="00DE5787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DE5787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DE5787">
        <w:rPr>
          <w:rFonts w:ascii="Times New Roman" w:hAnsi="Times New Roman" w:cs="Times New Roman"/>
          <w:sz w:val="28"/>
          <w:szCs w:val="28"/>
        </w:rPr>
        <w:t>;</w:t>
      </w:r>
    </w:p>
    <w:p w:rsidR="00B03A55" w:rsidRPr="00DE5787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DE5787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DE578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DE578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787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9F706D" w:rsidRDefault="00B661B5" w:rsidP="00646049">
      <w:pPr>
        <w:ind w:firstLine="709"/>
        <w:jc w:val="both"/>
        <w:rPr>
          <w:sz w:val="28"/>
          <w:szCs w:val="28"/>
        </w:rPr>
      </w:pPr>
      <w:r w:rsidRPr="009F706D">
        <w:rPr>
          <w:sz w:val="28"/>
          <w:szCs w:val="28"/>
        </w:rPr>
        <w:t>1</w:t>
      </w:r>
      <w:r w:rsidR="00B03A55" w:rsidRPr="009F706D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9F706D">
        <w:rPr>
          <w:rFonts w:eastAsia="Calibri"/>
          <w:sz w:val="28"/>
          <w:szCs w:val="28"/>
        </w:rPr>
        <w:t xml:space="preserve"> </w:t>
      </w:r>
      <w:r w:rsidR="009F706D" w:rsidRPr="009F706D">
        <w:rPr>
          <w:rFonts w:eastAsia="Tahoma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</w:t>
      </w:r>
      <w:r w:rsidR="00646049" w:rsidRPr="009F706D">
        <w:rPr>
          <w:sz w:val="28"/>
          <w:szCs w:val="28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06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F706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F706D">
        <w:rPr>
          <w:rFonts w:ascii="Times New Roman" w:hAnsi="Times New Roman" w:cs="Times New Roman"/>
          <w:sz w:val="28"/>
          <w:szCs w:val="28"/>
        </w:rPr>
        <w:t>:</w:t>
      </w:r>
    </w:p>
    <w:p w:rsidR="009F706D" w:rsidRPr="009A2E41" w:rsidRDefault="009F706D" w:rsidP="009F7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  Внесение изменений в механизм предоставления </w:t>
      </w:r>
      <w:r w:rsidRPr="009A2E4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9A2E41">
        <w:rPr>
          <w:rFonts w:ascii="Times New Roman" w:hAnsi="Times New Roman" w:cs="Times New Roman"/>
          <w:sz w:val="28"/>
          <w:szCs w:val="28"/>
        </w:rPr>
        <w:t>«</w:t>
      </w:r>
      <w:r w:rsidRPr="009A2E41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9F706D" w:rsidRPr="009A2E41" w:rsidRDefault="009F706D" w:rsidP="009F706D">
      <w:pPr>
        <w:ind w:firstLine="851"/>
        <w:jc w:val="both"/>
        <w:outlineLvl w:val="0"/>
        <w:rPr>
          <w:rFonts w:eastAsia="Tahoma"/>
          <w:sz w:val="28"/>
          <w:szCs w:val="28"/>
        </w:rPr>
      </w:pPr>
      <w:r w:rsidRPr="009A2E41">
        <w:rPr>
          <w:rFonts w:eastAsia="Tahoma"/>
          <w:sz w:val="28"/>
          <w:szCs w:val="28"/>
        </w:rPr>
        <w:t>Административный регламент предоставления муниципальной услуги «Выдача разрешений на строительство»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9F706D" w:rsidRPr="009A2E41" w:rsidRDefault="009F706D" w:rsidP="009F706D">
      <w:pPr>
        <w:ind w:firstLine="720"/>
        <w:jc w:val="both"/>
        <w:rPr>
          <w:sz w:val="28"/>
          <w:szCs w:val="28"/>
        </w:rPr>
      </w:pPr>
      <w:r w:rsidRPr="009A2E41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9A2E41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9A2E41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9F706D" w:rsidRPr="00125419" w:rsidRDefault="009F706D" w:rsidP="009F706D">
      <w:pPr>
        <w:ind w:firstLine="709"/>
        <w:jc w:val="both"/>
        <w:rPr>
          <w:sz w:val="28"/>
          <w:szCs w:val="28"/>
        </w:rPr>
      </w:pPr>
      <w:r w:rsidRPr="00125419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9F706D" w:rsidRPr="00125419" w:rsidRDefault="009F706D" w:rsidP="009F706D">
      <w:pPr>
        <w:numPr>
          <w:ilvl w:val="0"/>
          <w:numId w:val="5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5419">
        <w:rPr>
          <w:sz w:val="28"/>
          <w:szCs w:val="28"/>
        </w:rPr>
        <w:t>при принятии решения о выдаче (отказе в выдаче) разрешения на строительство:</w:t>
      </w:r>
    </w:p>
    <w:p w:rsidR="009F706D" w:rsidRPr="00125419" w:rsidRDefault="009F706D" w:rsidP="009F706D">
      <w:pPr>
        <w:ind w:firstLine="709"/>
        <w:jc w:val="both"/>
        <w:rPr>
          <w:sz w:val="28"/>
          <w:szCs w:val="28"/>
        </w:rPr>
      </w:pPr>
      <w:r w:rsidRPr="00125419">
        <w:rPr>
          <w:sz w:val="28"/>
          <w:szCs w:val="28"/>
        </w:rPr>
        <w:t>разрешения на строительство, по форме утвержденной приказом Министерства строительства и жилищно-коммунального хозяйства Российской Федерации от 19 февраля 2015 г. № 117/пр, или</w:t>
      </w:r>
    </w:p>
    <w:p w:rsidR="009F706D" w:rsidRPr="00125419" w:rsidRDefault="009F706D" w:rsidP="009F706D">
      <w:pPr>
        <w:ind w:firstLine="709"/>
        <w:jc w:val="both"/>
        <w:rPr>
          <w:sz w:val="28"/>
          <w:szCs w:val="28"/>
        </w:rPr>
      </w:pPr>
      <w:r w:rsidRPr="00125419">
        <w:rPr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строительство с указанием причин отказа;</w:t>
      </w:r>
    </w:p>
    <w:p w:rsidR="009F706D" w:rsidRPr="00125419" w:rsidRDefault="009F706D" w:rsidP="009F706D">
      <w:pPr>
        <w:numPr>
          <w:ilvl w:val="0"/>
          <w:numId w:val="5"/>
        </w:numPr>
        <w:tabs>
          <w:tab w:val="num" w:pos="0"/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5419">
        <w:rPr>
          <w:sz w:val="28"/>
          <w:szCs w:val="28"/>
        </w:rPr>
        <w:lastRenderedPageBreak/>
        <w:t>при принятии решения о внесении изменений (отказе во внесении изменений) в разрешение на строительство:</w:t>
      </w:r>
    </w:p>
    <w:p w:rsidR="009F706D" w:rsidRPr="00125419" w:rsidRDefault="009F706D" w:rsidP="009F706D">
      <w:pPr>
        <w:ind w:firstLine="709"/>
        <w:jc w:val="both"/>
        <w:rPr>
          <w:sz w:val="28"/>
          <w:szCs w:val="28"/>
        </w:rPr>
      </w:pPr>
      <w:r w:rsidRPr="00125419">
        <w:rPr>
          <w:sz w:val="28"/>
          <w:szCs w:val="28"/>
        </w:rPr>
        <w:t>уведомления администрации муниципального образования Тимашевский район о внесении изменений в разрешение на строительство, или</w:t>
      </w:r>
    </w:p>
    <w:p w:rsidR="00C16C42" w:rsidRPr="00403C6B" w:rsidRDefault="009F706D" w:rsidP="00715EAA">
      <w:pPr>
        <w:ind w:firstLine="709"/>
        <w:jc w:val="both"/>
        <w:rPr>
          <w:sz w:val="28"/>
          <w:szCs w:val="28"/>
          <w:highlight w:val="yellow"/>
        </w:rPr>
      </w:pPr>
      <w:r w:rsidRPr="00125419">
        <w:rPr>
          <w:sz w:val="28"/>
          <w:szCs w:val="28"/>
        </w:rPr>
        <w:t>уведомления администрации муниципального образования Тимашевский район об отказе во внесении изменений в разрешение на строительство с указанием причин отказа.</w:t>
      </w:r>
      <w:r w:rsidR="00E765D3" w:rsidRPr="00403C6B">
        <w:rPr>
          <w:sz w:val="28"/>
          <w:szCs w:val="28"/>
          <w:highlight w:val="yellow"/>
        </w:rPr>
        <w:t xml:space="preserve">    </w:t>
      </w:r>
    </w:p>
    <w:p w:rsidR="00D24FAE" w:rsidRPr="00715EAA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E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715EAA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715EA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715EAA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EAA">
        <w:rPr>
          <w:rFonts w:ascii="Times New Roman" w:hAnsi="Times New Roman" w:cs="Times New Roman"/>
          <w:sz w:val="28"/>
          <w:szCs w:val="28"/>
        </w:rPr>
        <w:t>3. Цел</w:t>
      </w:r>
      <w:r w:rsidR="00F22EE6" w:rsidRPr="00715EAA">
        <w:rPr>
          <w:rFonts w:ascii="Times New Roman" w:hAnsi="Times New Roman" w:cs="Times New Roman"/>
          <w:sz w:val="28"/>
          <w:szCs w:val="28"/>
        </w:rPr>
        <w:t>ью</w:t>
      </w:r>
      <w:r w:rsidRPr="00715EAA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715EAA">
        <w:rPr>
          <w:rFonts w:ascii="Times New Roman" w:hAnsi="Times New Roman" w:cs="Times New Roman"/>
          <w:sz w:val="28"/>
          <w:szCs w:val="28"/>
        </w:rPr>
        <w:t>е</w:t>
      </w:r>
      <w:r w:rsidRPr="00715EAA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715EAA" w:rsidRPr="009A2E41" w:rsidRDefault="00587AEF" w:rsidP="00715EAA">
      <w:pPr>
        <w:ind w:firstLine="720"/>
        <w:jc w:val="both"/>
        <w:outlineLvl w:val="0"/>
        <w:rPr>
          <w:rFonts w:eastAsia="Tahoma"/>
          <w:sz w:val="28"/>
          <w:szCs w:val="28"/>
        </w:rPr>
      </w:pPr>
      <w:r w:rsidRPr="00715EAA">
        <w:rPr>
          <w:sz w:val="28"/>
          <w:szCs w:val="28"/>
        </w:rPr>
        <w:t xml:space="preserve">Цель предлагаемого правового регулирования </w:t>
      </w:r>
      <w:r w:rsidR="00715EAA" w:rsidRPr="00715EAA">
        <w:rPr>
          <w:sz w:val="28"/>
          <w:szCs w:val="28"/>
        </w:rPr>
        <w:t xml:space="preserve">- определить  </w:t>
      </w:r>
      <w:r w:rsidR="00715EAA" w:rsidRPr="00715EAA">
        <w:rPr>
          <w:rFonts w:eastAsia="Tahoma"/>
          <w:sz w:val="28"/>
          <w:szCs w:val="28"/>
        </w:rPr>
        <w:t>стандарты, сроки и последовательность административных</w:t>
      </w:r>
      <w:r w:rsidR="00715EAA" w:rsidRPr="009A2E41">
        <w:rPr>
          <w:rFonts w:eastAsia="Tahoma"/>
          <w:sz w:val="28"/>
          <w:szCs w:val="28"/>
        </w:rPr>
        <w:t xml:space="preserve">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F50B52" w:rsidRPr="00715EAA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EAA">
        <w:rPr>
          <w:rFonts w:ascii="Times New Roman" w:hAnsi="Times New Roman" w:cs="Times New Roman"/>
          <w:sz w:val="28"/>
          <w:szCs w:val="28"/>
        </w:rPr>
        <w:tab/>
      </w:r>
      <w:r w:rsidR="00F50B52" w:rsidRPr="00715EAA">
        <w:rPr>
          <w:rFonts w:ascii="Times New Roman" w:hAnsi="Times New Roman" w:cs="Times New Roman"/>
          <w:sz w:val="28"/>
          <w:szCs w:val="28"/>
        </w:rPr>
        <w:t>Цел</w:t>
      </w:r>
      <w:r w:rsidR="00F80C12" w:rsidRPr="00715EAA">
        <w:rPr>
          <w:rFonts w:ascii="Times New Roman" w:hAnsi="Times New Roman" w:cs="Times New Roman"/>
          <w:sz w:val="28"/>
          <w:szCs w:val="28"/>
        </w:rPr>
        <w:t>ь</w:t>
      </w:r>
      <w:r w:rsidR="00F50B52" w:rsidRPr="00715EA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715EA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715EAA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715EA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715EA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715EAA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715EAA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715EAA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AA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15E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15EAA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715EAA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715EAA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715EAA">
        <w:rPr>
          <w:rFonts w:ascii="Times New Roman" w:hAnsi="Times New Roman" w:cs="Times New Roman"/>
          <w:sz w:val="28"/>
          <w:szCs w:val="28"/>
        </w:rPr>
        <w:t>прав</w:t>
      </w:r>
      <w:r w:rsidR="00907FCE" w:rsidRPr="00715EAA">
        <w:rPr>
          <w:rFonts w:ascii="Times New Roman" w:hAnsi="Times New Roman" w:cs="Times New Roman"/>
          <w:sz w:val="28"/>
          <w:szCs w:val="28"/>
        </w:rPr>
        <w:t>а</w:t>
      </w:r>
      <w:r w:rsidR="00753C15" w:rsidRPr="00715EAA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715EAA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715EAA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715EAA" w:rsidRPr="00A92E89" w:rsidRDefault="00715EAA" w:rsidP="00715EAA">
      <w:pPr>
        <w:pStyle w:val="ae"/>
        <w:widowControl w:val="0"/>
        <w:ind w:left="1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92E89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выдаче разрешения на строительство, оформленное по форме,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2E8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E8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125419">
        <w:rPr>
          <w:rFonts w:ascii="Times New Roman" w:hAnsi="Times New Roman" w:cs="Times New Roman"/>
          <w:sz w:val="28"/>
          <w:szCs w:val="28"/>
        </w:rPr>
        <w:t>регламенту.</w:t>
      </w:r>
      <w:r w:rsidRPr="00125419">
        <w:t xml:space="preserve"> </w:t>
      </w:r>
      <w:r w:rsidRPr="00125419">
        <w:rPr>
          <w:rFonts w:ascii="Times New Roman" w:hAnsi="Times New Roman" w:cs="Times New Roman"/>
          <w:sz w:val="28"/>
          <w:szCs w:val="28"/>
        </w:rPr>
        <w:t>Образец заполнения заявления приведен в приложении № 2 к настоящему регламенту.</w:t>
      </w:r>
    </w:p>
    <w:p w:rsidR="00715EAA" w:rsidRPr="00D8683E" w:rsidRDefault="00715EAA" w:rsidP="00715EAA">
      <w:pPr>
        <w:ind w:firstLine="709"/>
        <w:jc w:val="both"/>
        <w:rPr>
          <w:sz w:val="28"/>
          <w:szCs w:val="28"/>
        </w:rPr>
      </w:pPr>
      <w:r w:rsidRPr="00715EAA">
        <w:rPr>
          <w:sz w:val="28"/>
          <w:szCs w:val="28"/>
        </w:rPr>
        <w:t>К заявлению</w:t>
      </w:r>
      <w:r w:rsidRPr="00715EAA">
        <w:t xml:space="preserve"> </w:t>
      </w:r>
      <w:r w:rsidRPr="00715EAA">
        <w:rPr>
          <w:sz w:val="28"/>
          <w:szCs w:val="28"/>
        </w:rPr>
        <w:t>о выдаче разрешения на строительство прилагаются следующие документы:</w:t>
      </w:r>
    </w:p>
    <w:p w:rsidR="00715EAA" w:rsidRPr="00D8683E" w:rsidRDefault="00715EAA" w:rsidP="00715EAA">
      <w:pPr>
        <w:ind w:firstLine="709"/>
        <w:jc w:val="both"/>
        <w:rPr>
          <w:sz w:val="28"/>
          <w:szCs w:val="28"/>
        </w:rPr>
      </w:pPr>
      <w:r w:rsidRPr="00D8683E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 (копия, 1 экземпляр);</w:t>
      </w:r>
    </w:p>
    <w:p w:rsidR="00715EAA" w:rsidRPr="00D8683E" w:rsidRDefault="00715EAA" w:rsidP="00715EAA">
      <w:pPr>
        <w:ind w:firstLine="720"/>
        <w:jc w:val="both"/>
        <w:rPr>
          <w:sz w:val="28"/>
          <w:szCs w:val="28"/>
        </w:rPr>
      </w:pPr>
      <w:r w:rsidRPr="00D8683E">
        <w:rPr>
          <w:sz w:val="28"/>
          <w:szCs w:val="28"/>
        </w:rPr>
        <w:t xml:space="preserve">2) </w:t>
      </w:r>
      <w:r w:rsidRPr="00D8683E">
        <w:rPr>
          <w:rFonts w:eastAsia="Verdana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9" w:history="1">
        <w:r w:rsidRPr="00D8683E">
          <w:rPr>
            <w:rFonts w:eastAsia="Verdana"/>
            <w:sz w:val="28"/>
            <w:szCs w:val="28"/>
          </w:rPr>
          <w:t>частью 15 статьи 48</w:t>
        </w:r>
      </w:hyperlink>
      <w:r w:rsidRPr="00D8683E">
        <w:rPr>
          <w:rFonts w:eastAsia="Verdana"/>
          <w:sz w:val="28"/>
          <w:szCs w:val="28"/>
        </w:rPr>
        <w:t xml:space="preserve"> Градостроительного кодекса Российской Федерации проектной документации</w:t>
      </w:r>
      <w:r w:rsidRPr="00D8683E">
        <w:rPr>
          <w:sz w:val="28"/>
          <w:szCs w:val="28"/>
        </w:rPr>
        <w:t xml:space="preserve"> (подлинники, 1 экземпляр):</w:t>
      </w:r>
    </w:p>
    <w:p w:rsidR="00715EAA" w:rsidRPr="00D8683E" w:rsidRDefault="00715EAA" w:rsidP="00715EAA">
      <w:pPr>
        <w:ind w:firstLine="720"/>
        <w:jc w:val="both"/>
        <w:rPr>
          <w:sz w:val="28"/>
          <w:szCs w:val="28"/>
        </w:rPr>
      </w:pPr>
      <w:r w:rsidRPr="00D8683E">
        <w:rPr>
          <w:sz w:val="28"/>
          <w:szCs w:val="28"/>
        </w:rPr>
        <w:t>а) пояснительная записка;</w:t>
      </w:r>
    </w:p>
    <w:p w:rsidR="00715EAA" w:rsidRPr="00D8683E" w:rsidRDefault="00715EAA" w:rsidP="00715EAA">
      <w:pPr>
        <w:ind w:firstLine="720"/>
        <w:jc w:val="both"/>
        <w:rPr>
          <w:sz w:val="28"/>
          <w:szCs w:val="28"/>
        </w:rPr>
      </w:pPr>
      <w:r w:rsidRPr="00D8683E">
        <w:rPr>
          <w:sz w:val="28"/>
          <w:szCs w:val="28"/>
        </w:rPr>
        <w:t xml:space="preserve">б) </w:t>
      </w:r>
      <w:r w:rsidRPr="00D8683E">
        <w:rPr>
          <w:rFonts w:eastAsia="SchoolBook"/>
          <w:sz w:val="28"/>
          <w:szCs w:val="28"/>
        </w:rPr>
        <w:t xml:space="preserve">схема планировочной организации земельного участка, выполненная в </w:t>
      </w:r>
      <w:r w:rsidRPr="00D8683E">
        <w:rPr>
          <w:rFonts w:eastAsia="SchoolBook"/>
          <w:sz w:val="28"/>
          <w:szCs w:val="28"/>
        </w:rPr>
        <w:lastRenderedPageBreak/>
        <w:t xml:space="preserve">соответствии с информацией, указанной в градостроительном плане земельного участка, </w:t>
      </w:r>
      <w:r w:rsidRPr="00D8683E">
        <w:rPr>
          <w:rFonts w:eastAsia="Verdana"/>
          <w:sz w:val="28"/>
          <w:szCs w:val="28"/>
        </w:rPr>
        <w:t>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715EAA" w:rsidRPr="00D8683E" w:rsidRDefault="00715EAA" w:rsidP="00715EAA">
      <w:pPr>
        <w:ind w:firstLine="720"/>
        <w:jc w:val="both"/>
        <w:rPr>
          <w:rFonts w:eastAsia="Verdana"/>
          <w:sz w:val="28"/>
          <w:szCs w:val="28"/>
        </w:rPr>
      </w:pPr>
      <w:r w:rsidRPr="00D8683E">
        <w:rPr>
          <w:rFonts w:eastAsia="Verdana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</w:r>
    </w:p>
    <w:p w:rsidR="00715EAA" w:rsidRPr="00D8683E" w:rsidRDefault="00715EAA" w:rsidP="00715EAA">
      <w:pPr>
        <w:ind w:firstLine="720"/>
        <w:jc w:val="both"/>
        <w:rPr>
          <w:rFonts w:eastAsia="Verdana"/>
          <w:sz w:val="28"/>
          <w:szCs w:val="28"/>
        </w:rPr>
      </w:pPr>
      <w:r w:rsidRPr="00D8683E">
        <w:rPr>
          <w:rFonts w:eastAsia="Verdana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15EAA" w:rsidRPr="00041E5D" w:rsidRDefault="00715EAA" w:rsidP="00715EAA">
      <w:pPr>
        <w:ind w:firstLine="720"/>
        <w:jc w:val="both"/>
        <w:rPr>
          <w:rFonts w:eastAsia="Verdana"/>
          <w:sz w:val="28"/>
          <w:szCs w:val="28"/>
        </w:rPr>
      </w:pPr>
      <w:r w:rsidRPr="00D8683E">
        <w:rPr>
          <w:rFonts w:eastAsia="SchoolBook"/>
          <w:sz w:val="28"/>
          <w:szCs w:val="28"/>
        </w:rPr>
        <w:t xml:space="preserve">3) положительное заключение экспертизы проектной документации </w:t>
      </w:r>
      <w:r w:rsidRPr="00D8683E">
        <w:rPr>
          <w:rFonts w:eastAsia="Verdana"/>
          <w:sz w:val="28"/>
          <w:szCs w:val="28"/>
        </w:rPr>
        <w:t>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 w:rsidRPr="00D8683E">
        <w:rPr>
          <w:rFonts w:eastAsia="SchoolBook"/>
          <w:sz w:val="28"/>
          <w:szCs w:val="28"/>
        </w:rPr>
        <w:t xml:space="preserve"> (применительно к отдельным этапам строительства в случае, предусмотренном</w:t>
      </w:r>
      <w:r w:rsidRPr="00A92E89">
        <w:rPr>
          <w:rFonts w:eastAsia="SchoolBook"/>
          <w:sz w:val="28"/>
          <w:szCs w:val="28"/>
        </w:rPr>
        <w:t xml:space="preserve"> </w:t>
      </w:r>
      <w:hyperlink r:id="rId10" w:history="1">
        <w:r w:rsidRPr="00A92E89">
          <w:rPr>
            <w:rFonts w:eastAsia="SchoolBook"/>
            <w:sz w:val="28"/>
            <w:szCs w:val="28"/>
          </w:rPr>
          <w:t>частью 12.1 статьи 48</w:t>
        </w:r>
      </w:hyperlink>
      <w:r w:rsidRPr="00A92E89">
        <w:rPr>
          <w:rFonts w:eastAsia="SchoolBook"/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1" w:history="1">
        <w:r w:rsidRPr="00A92E89">
          <w:rPr>
            <w:rFonts w:eastAsia="SchoolBook"/>
            <w:sz w:val="28"/>
            <w:szCs w:val="28"/>
          </w:rPr>
          <w:t>статьей 49</w:t>
        </w:r>
      </w:hyperlink>
      <w:r w:rsidRPr="00A92E89">
        <w:rPr>
          <w:rFonts w:eastAsia="SchoolBook"/>
          <w:sz w:val="28"/>
          <w:szCs w:val="28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Pr="00A92E89">
          <w:rPr>
            <w:rFonts w:eastAsia="SchoolBook"/>
            <w:sz w:val="28"/>
            <w:szCs w:val="28"/>
          </w:rPr>
          <w:t>частью 3.4 статьи 49</w:t>
        </w:r>
      </w:hyperlink>
      <w:r w:rsidRPr="00A92E89">
        <w:rPr>
          <w:rFonts w:eastAsia="SchoolBook"/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r:id="rId13" w:history="1">
        <w:r w:rsidRPr="00A92E89">
          <w:rPr>
            <w:rFonts w:eastAsia="SchoolBook"/>
            <w:sz w:val="28"/>
            <w:szCs w:val="28"/>
          </w:rPr>
          <w:t>частью 6 статьи 49</w:t>
        </w:r>
      </w:hyperlink>
      <w:r w:rsidRPr="00A92E89">
        <w:rPr>
          <w:rFonts w:eastAsia="SchoolBook"/>
          <w:sz w:val="28"/>
          <w:szCs w:val="28"/>
        </w:rPr>
        <w:t xml:space="preserve"> Градостроительного кодекса РФ (подлинник, 1 экземпляр);</w:t>
      </w:r>
    </w:p>
    <w:p w:rsidR="00715EAA" w:rsidRPr="00125419" w:rsidRDefault="00715EAA" w:rsidP="00715EAA">
      <w:pPr>
        <w:ind w:firstLine="720"/>
        <w:jc w:val="both"/>
        <w:rPr>
          <w:sz w:val="28"/>
          <w:szCs w:val="28"/>
        </w:rPr>
      </w:pPr>
      <w:r w:rsidRPr="0056746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A92E89">
        <w:rPr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под</w:t>
      </w:r>
      <w:r>
        <w:rPr>
          <w:sz w:val="28"/>
          <w:szCs w:val="28"/>
        </w:rPr>
        <w:t xml:space="preserve">пункте </w:t>
      </w:r>
      <w:hyperlink w:anchor="sub_510762" w:history="1"/>
      <w:r w:rsidRPr="00125419">
        <w:rPr>
          <w:color w:val="000000"/>
          <w:sz w:val="28"/>
          <w:szCs w:val="28"/>
        </w:rPr>
        <w:t>6</w:t>
      </w:r>
      <w:r w:rsidRPr="00125419">
        <w:rPr>
          <w:sz w:val="28"/>
          <w:szCs w:val="28"/>
        </w:rPr>
        <w:t xml:space="preserve"> пункта 2.6.1 случаев реконструкции многоквартирного дома (подлинник, 1 экземпляр);</w:t>
      </w:r>
    </w:p>
    <w:p w:rsidR="00715EAA" w:rsidRPr="00125419" w:rsidRDefault="00715EAA" w:rsidP="00715EAA">
      <w:pPr>
        <w:ind w:firstLine="720"/>
        <w:jc w:val="both"/>
        <w:rPr>
          <w:sz w:val="28"/>
          <w:szCs w:val="28"/>
        </w:rPr>
      </w:pPr>
      <w:r w:rsidRPr="00125419">
        <w:rPr>
          <w:sz w:val="28"/>
          <w:szCs w:val="28"/>
        </w:rPr>
        <w:t>5) в случае проведения реконструкции (муниципальным) заказчиком, являющимся органом местного самоуправления, на объекте капитального строительства (муниципальной) собственности, правообладателем которого является (муниципальное) унитарное предприятие,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715EAA" w:rsidRPr="00125419" w:rsidRDefault="00715EAA" w:rsidP="00715EAA">
      <w:pPr>
        <w:ind w:firstLine="720"/>
        <w:jc w:val="both"/>
        <w:rPr>
          <w:sz w:val="28"/>
          <w:szCs w:val="28"/>
        </w:rPr>
      </w:pPr>
      <w:r w:rsidRPr="00125419">
        <w:rPr>
          <w:sz w:val="28"/>
          <w:szCs w:val="28"/>
        </w:rPr>
        <w:lastRenderedPageBreak/>
        <w:t>6)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715EAA" w:rsidRDefault="00715EAA" w:rsidP="00715EAA">
      <w:pPr>
        <w:ind w:firstLine="720"/>
        <w:jc w:val="both"/>
        <w:rPr>
          <w:sz w:val="28"/>
          <w:szCs w:val="28"/>
        </w:rPr>
      </w:pPr>
      <w:r w:rsidRPr="00125419">
        <w:rPr>
          <w:sz w:val="28"/>
          <w:szCs w:val="28"/>
        </w:rPr>
        <w:t xml:space="preserve">7) документы, предусмотренные </w:t>
      </w:r>
      <w:hyperlink r:id="rId14" w:history="1">
        <w:r w:rsidRPr="00125419">
          <w:rPr>
            <w:sz w:val="28"/>
            <w:szCs w:val="28"/>
          </w:rPr>
          <w:t>законодательством</w:t>
        </w:r>
      </w:hyperlink>
      <w:r w:rsidRPr="00125419">
        <w:rPr>
          <w:sz w:val="28"/>
          <w:szCs w:val="28"/>
        </w:rPr>
        <w:t xml:space="preserve"> Российской Федерации</w:t>
      </w:r>
      <w:r w:rsidRPr="00A92E89">
        <w:rPr>
          <w:sz w:val="28"/>
          <w:szCs w:val="28"/>
        </w:rPr>
        <w:t xml:space="preserve">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sz w:val="28"/>
          <w:szCs w:val="28"/>
        </w:rPr>
        <w:t>и и безопасности такого объекта.</w:t>
      </w:r>
    </w:p>
    <w:p w:rsidR="00715EAA" w:rsidRPr="00E51F93" w:rsidRDefault="00715EAA" w:rsidP="00715EA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B2AE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указанные в </w:t>
      </w:r>
      <w:r w:rsidRPr="00E51F93">
        <w:rPr>
          <w:sz w:val="28"/>
          <w:szCs w:val="28"/>
        </w:rPr>
        <w:t>подпунктах 1, 2 и 3 пункта 2.6.1 подраздела 2.6 раздела 2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715EAA" w:rsidRPr="00A92E89" w:rsidRDefault="00715EAA" w:rsidP="00715EA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51F93">
        <w:rPr>
          <w:sz w:val="28"/>
          <w:szCs w:val="28"/>
        </w:rPr>
        <w:t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Краснодарского края, уполномоченного в области охраны объектов культурного наследия, о соответствии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</w:t>
      </w:r>
      <w:r w:rsidRPr="00A92E89">
        <w:rPr>
          <w:sz w:val="28"/>
          <w:szCs w:val="28"/>
        </w:rPr>
        <w:t>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715EAA" w:rsidRPr="00A92E89" w:rsidRDefault="00715EAA" w:rsidP="00715EA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Заявитель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</w:t>
      </w:r>
      <w:r>
        <w:rPr>
          <w:sz w:val="28"/>
          <w:szCs w:val="28"/>
        </w:rPr>
        <w:t>ным законом от 25 июня 2002 г.</w:t>
      </w:r>
      <w:r w:rsidRPr="00A92E89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заявлении о выдаче разрешения на строительство указывается на такое типовое архитектурное решение. </w:t>
      </w:r>
    </w:p>
    <w:p w:rsidR="00715EAA" w:rsidRPr="00FD74F3" w:rsidRDefault="00715EAA" w:rsidP="00715EA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D74F3">
        <w:rPr>
          <w:sz w:val="28"/>
          <w:szCs w:val="28"/>
        </w:rPr>
        <w:t>Для внесения изменений в разрешение на строительство заявителем представляются следующие документы.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FD74F3">
        <w:rPr>
          <w:sz w:val="28"/>
          <w:szCs w:val="28"/>
        </w:rPr>
        <w:t xml:space="preserve">1)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</w:t>
      </w:r>
      <w:r w:rsidRPr="00125419">
        <w:rPr>
          <w:sz w:val="28"/>
          <w:szCs w:val="28"/>
        </w:rPr>
        <w:t>оформленное по форме, согласно приложению № 3 к регламенту (образец заполнения заявления приведен в приложении № 4 к настоящему регламенту),</w:t>
      </w:r>
      <w:r w:rsidRPr="00125419">
        <w:t xml:space="preserve"> </w:t>
      </w:r>
      <w:r w:rsidRPr="00125419">
        <w:rPr>
          <w:sz w:val="28"/>
          <w:szCs w:val="28"/>
        </w:rPr>
        <w:t xml:space="preserve">или уведомление о переходе к заявителю прав на земельные участки, прав пользования недрами, об образовании земельного участка (далее – уведомление), оформленное по форме, согласно приложению № 5 к настоящему регламенту (образец заполнения заявления приведен в приложении № 6 к </w:t>
      </w:r>
      <w:r w:rsidRPr="00125419">
        <w:rPr>
          <w:sz w:val="28"/>
          <w:szCs w:val="28"/>
        </w:rPr>
        <w:lastRenderedPageBreak/>
        <w:t>настоящему регламенту).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В уведомлении указываются реквизиты: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а) правоустанавливающих документов на такие земельные участки в случае, если заявитель приобрел право на земельный участок и разрешение на строительство, выдавалось прежнему правообладателю земельного участка;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б) решения об образовании земельных участков, если в соответствии с земельным законодательством решение об образовании земельного участка принято исполнительным органом государственной власти или администрацией сельского поселения Тимашевского района, в случаях: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РФ выдано разрешение на строительство;</w:t>
      </w:r>
    </w:p>
    <w:p w:rsidR="00715EAA" w:rsidRPr="00A92E89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в)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участков;</w:t>
      </w:r>
    </w:p>
    <w:p w:rsidR="00715EAA" w:rsidRDefault="00715EAA" w:rsidP="00715EAA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г) решения о предоставлении права пользования недрами и решения о переоформлении лицензии на право пользования недрами в случае, в случае переоформления лицензии на пользование недрами новым пользователь недр.</w:t>
      </w:r>
    </w:p>
    <w:p w:rsidR="00715EAA" w:rsidRPr="00112D69" w:rsidRDefault="00715EAA" w:rsidP="00715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заявителем прилагается к</w:t>
      </w:r>
      <w:r w:rsidRPr="00A92E89">
        <w:rPr>
          <w:sz w:val="28"/>
          <w:szCs w:val="28"/>
        </w:rPr>
        <w:t xml:space="preserve">опия правоустанавливающих документов на земельные участки, </w:t>
      </w:r>
      <w:r w:rsidRPr="00A92E89">
        <w:rPr>
          <w:rFonts w:eastAsia="SchoolBook"/>
          <w:sz w:val="28"/>
          <w:szCs w:val="28"/>
        </w:rPr>
        <w:t>в случае, если заявитель приобрел права на земельный участок и в Едином государственном реестре недвижимости не содержатся сведения о правоустанавливающих документах на указанный земельный участок.</w:t>
      </w:r>
    </w:p>
    <w:p w:rsidR="00715EAA" w:rsidRPr="00654B1A" w:rsidRDefault="00715EAA" w:rsidP="00715EA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4B1A">
        <w:rPr>
          <w:sz w:val="28"/>
          <w:szCs w:val="28"/>
        </w:rPr>
        <w:t>К заявлению о внесении изменений в разрешение на строительство (кроме заявления о внесении изменений в разрешение на строительство исключительно в связи с продлением срока действия такого разрешения), для принятия решения о внесении изменений в разрешение на строительство заявителем прилагаются документы, предусмотренные пунктом 2.6.1 подраздела 2.6 регламента. Представление указанных документов осуществляется в соответствии с пунктом 2.6.2 подраздела 2.6 регламента.</w:t>
      </w:r>
    </w:p>
    <w:p w:rsidR="00715EAA" w:rsidRPr="00654B1A" w:rsidRDefault="00715EAA" w:rsidP="00715EA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4B1A">
        <w:rPr>
          <w:sz w:val="28"/>
          <w:szCs w:val="28"/>
        </w:rPr>
        <w:t>Заявитель вправе приложить к заявлению о внесении изменений в разрешение на строительство в связи с необходимостью продления срока действия разрешения на строительство, выданное органом, предоставляющим муниципальную услугу, или администрацией сельского поселения Тимашевского района разрешение на строительство с целью проставления срока на который продлевается указанное разрешение на строительство.</w:t>
      </w:r>
    </w:p>
    <w:p w:rsidR="00F26D37" w:rsidRPr="000547B6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7B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0547B6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0547B6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7B6">
        <w:rPr>
          <w:rFonts w:ascii="Times New Roman" w:hAnsi="Times New Roman" w:cs="Times New Roman"/>
          <w:sz w:val="28"/>
          <w:szCs w:val="28"/>
        </w:rPr>
        <w:lastRenderedPageBreak/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DF74E0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7F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AA787F">
        <w:rPr>
          <w:rFonts w:ascii="Times New Roman" w:hAnsi="Times New Roman" w:cs="Times New Roman"/>
          <w:sz w:val="28"/>
          <w:szCs w:val="28"/>
        </w:rPr>
        <w:t>заявлени</w:t>
      </w:r>
      <w:r w:rsidR="008D42C3" w:rsidRPr="00AA787F">
        <w:rPr>
          <w:rFonts w:ascii="Times New Roman" w:hAnsi="Times New Roman" w:cs="Times New Roman"/>
          <w:sz w:val="28"/>
          <w:szCs w:val="28"/>
        </w:rPr>
        <w:t>я</w:t>
      </w:r>
      <w:r w:rsidR="00DF16A4" w:rsidRPr="00AA787F">
        <w:rPr>
          <w:rFonts w:ascii="Times New Roman" w:hAnsi="Times New Roman" w:cs="Times New Roman"/>
          <w:sz w:val="28"/>
          <w:szCs w:val="28"/>
        </w:rPr>
        <w:t xml:space="preserve"> </w:t>
      </w:r>
      <w:r w:rsidR="000547B6" w:rsidRPr="00AA787F">
        <w:rPr>
          <w:rFonts w:ascii="Times New Roman" w:hAnsi="Times New Roman" w:cs="Times New Roman"/>
          <w:sz w:val="28"/>
          <w:szCs w:val="28"/>
        </w:rPr>
        <w:t>о выдаче разрешения на строительство или заявления о внесении изменений в разрешение</w:t>
      </w:r>
      <w:r w:rsidR="000547B6" w:rsidRPr="00FD74F3">
        <w:rPr>
          <w:rFonts w:ascii="Times New Roman" w:hAnsi="Times New Roman" w:cs="Times New Roman"/>
          <w:sz w:val="28"/>
          <w:szCs w:val="28"/>
        </w:rPr>
        <w:t xml:space="preserve"> на </w:t>
      </w:r>
      <w:r w:rsidR="000547B6" w:rsidRPr="00DF74E0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D42C3" w:rsidRPr="00DF74E0">
        <w:rPr>
          <w:rFonts w:ascii="Times New Roman" w:hAnsi="Times New Roman" w:cs="Times New Roman"/>
          <w:sz w:val="28"/>
          <w:szCs w:val="28"/>
        </w:rPr>
        <w:t>в раз</w:t>
      </w:r>
      <w:r w:rsidRPr="00DF74E0">
        <w:rPr>
          <w:rFonts w:ascii="Times New Roman" w:hAnsi="Times New Roman" w:cs="Times New Roman"/>
          <w:sz w:val="28"/>
          <w:szCs w:val="28"/>
        </w:rPr>
        <w:t xml:space="preserve">мере примерно </w:t>
      </w:r>
      <w:r w:rsidR="00DF74E0" w:rsidRPr="00DF74E0">
        <w:rPr>
          <w:rFonts w:ascii="Times New Roman" w:hAnsi="Times New Roman" w:cs="Times New Roman"/>
          <w:sz w:val="28"/>
          <w:szCs w:val="28"/>
        </w:rPr>
        <w:t>93</w:t>
      </w:r>
      <w:r w:rsidR="00A10D91" w:rsidRPr="00DF74E0">
        <w:rPr>
          <w:rFonts w:ascii="Times New Roman" w:hAnsi="Times New Roman" w:cs="Times New Roman"/>
          <w:sz w:val="28"/>
          <w:szCs w:val="28"/>
        </w:rPr>
        <w:t>,</w:t>
      </w:r>
      <w:r w:rsidR="00DF74E0" w:rsidRPr="00DF74E0">
        <w:rPr>
          <w:rFonts w:ascii="Times New Roman" w:hAnsi="Times New Roman" w:cs="Times New Roman"/>
          <w:sz w:val="28"/>
          <w:szCs w:val="28"/>
        </w:rPr>
        <w:t>97</w:t>
      </w:r>
      <w:r w:rsidRPr="00DF74E0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0547B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7B6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0547B6">
        <w:rPr>
          <w:rFonts w:ascii="Times New Roman" w:hAnsi="Times New Roman" w:cs="Times New Roman"/>
          <w:sz w:val="28"/>
          <w:szCs w:val="28"/>
        </w:rPr>
        <w:t xml:space="preserve">.   </w:t>
      </w:r>
      <w:r w:rsidRPr="000547B6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0547B6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7B6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0547B6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0547B6">
        <w:rPr>
          <w:rFonts w:ascii="Times New Roman" w:hAnsi="Times New Roman" w:cs="Times New Roman"/>
          <w:sz w:val="28"/>
          <w:szCs w:val="28"/>
        </w:rPr>
        <w:t>.</w:t>
      </w:r>
      <w:r w:rsidRPr="000547B6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547B6">
        <w:rPr>
          <w:rFonts w:ascii="Times New Roman" w:hAnsi="Times New Roman" w:cs="Times New Roman"/>
          <w:sz w:val="28"/>
          <w:szCs w:val="28"/>
        </w:rPr>
        <w:t>.</w:t>
      </w:r>
      <w:r w:rsidRPr="000547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47B6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AA787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        название требования: подача </w:t>
      </w:r>
      <w:r w:rsidR="00DD4ABB" w:rsidRPr="00AA787F">
        <w:rPr>
          <w:sz w:val="28"/>
          <w:szCs w:val="28"/>
        </w:rPr>
        <w:t xml:space="preserve">заявления </w:t>
      </w:r>
      <w:r w:rsidR="00AA787F" w:rsidRPr="00AA787F">
        <w:rPr>
          <w:sz w:val="28"/>
          <w:szCs w:val="28"/>
        </w:rPr>
        <w:t>о выдаче разрешения на строительство или заявления о внесении изменений в разрешение на строительство</w:t>
      </w:r>
      <w:r w:rsidRPr="00AA787F">
        <w:rPr>
          <w:sz w:val="28"/>
          <w:szCs w:val="28"/>
        </w:rPr>
        <w:t xml:space="preserve">; </w:t>
      </w:r>
    </w:p>
    <w:p w:rsidR="0069274C" w:rsidRPr="00AA787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AA787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        раздел требования: информационное</w:t>
      </w:r>
    </w:p>
    <w:p w:rsidR="006F2CCD" w:rsidRPr="00AA787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        информационный элемент: </w:t>
      </w:r>
      <w:r w:rsidR="006F2CCD" w:rsidRPr="00AA787F">
        <w:rPr>
          <w:sz w:val="28"/>
          <w:szCs w:val="28"/>
        </w:rPr>
        <w:t>заявлени</w:t>
      </w:r>
      <w:r w:rsidR="009C66EB" w:rsidRPr="00AA787F">
        <w:rPr>
          <w:sz w:val="28"/>
          <w:szCs w:val="28"/>
        </w:rPr>
        <w:t>е</w:t>
      </w:r>
      <w:r w:rsidR="006F2CCD" w:rsidRPr="00AA787F">
        <w:rPr>
          <w:sz w:val="28"/>
          <w:szCs w:val="28"/>
        </w:rPr>
        <w:t xml:space="preserve"> </w:t>
      </w:r>
      <w:r w:rsidR="00AA787F" w:rsidRPr="00AA787F">
        <w:rPr>
          <w:sz w:val="28"/>
          <w:szCs w:val="28"/>
        </w:rPr>
        <w:t>о выдаче разрешения на строительство или заявлени</w:t>
      </w:r>
      <w:r w:rsidR="00AA787F">
        <w:rPr>
          <w:sz w:val="28"/>
          <w:szCs w:val="28"/>
        </w:rPr>
        <w:t>е</w:t>
      </w:r>
      <w:r w:rsidR="00AA787F" w:rsidRPr="00AA787F">
        <w:rPr>
          <w:sz w:val="28"/>
          <w:szCs w:val="28"/>
        </w:rPr>
        <w:t xml:space="preserve"> о внесении изменений в разрешение на строительство; </w:t>
      </w:r>
      <w:r w:rsidR="006F2CCD" w:rsidRPr="00AA787F">
        <w:rPr>
          <w:sz w:val="28"/>
          <w:szCs w:val="28"/>
        </w:rPr>
        <w:t xml:space="preserve"> </w:t>
      </w:r>
    </w:p>
    <w:p w:rsidR="0069274C" w:rsidRPr="00AA787F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A787F">
        <w:rPr>
          <w:bCs/>
          <w:sz w:val="28"/>
          <w:szCs w:val="28"/>
        </w:rPr>
        <w:t xml:space="preserve"> </w:t>
      </w:r>
      <w:r w:rsidR="0069274C" w:rsidRPr="00AA787F">
        <w:rPr>
          <w:bCs/>
          <w:sz w:val="28"/>
          <w:szCs w:val="28"/>
        </w:rPr>
        <w:t xml:space="preserve">       масштаб:</w:t>
      </w:r>
      <w:r w:rsidR="0069274C" w:rsidRPr="00AA787F">
        <w:rPr>
          <w:sz w:val="28"/>
          <w:szCs w:val="28"/>
        </w:rPr>
        <w:t xml:space="preserve"> </w:t>
      </w:r>
      <w:r w:rsidR="00B30232" w:rsidRPr="00AA787F">
        <w:rPr>
          <w:sz w:val="28"/>
          <w:szCs w:val="28"/>
        </w:rPr>
        <w:t xml:space="preserve">подача заявления </w:t>
      </w:r>
      <w:r w:rsidR="0069274C" w:rsidRPr="00AA787F">
        <w:rPr>
          <w:sz w:val="28"/>
          <w:szCs w:val="28"/>
        </w:rPr>
        <w:t xml:space="preserve">- </w:t>
      </w:r>
      <w:r w:rsidR="00982F73" w:rsidRPr="00AA787F">
        <w:rPr>
          <w:sz w:val="28"/>
          <w:szCs w:val="28"/>
        </w:rPr>
        <w:t>1</w:t>
      </w:r>
      <w:r w:rsidR="0069274C" w:rsidRPr="00AA787F">
        <w:rPr>
          <w:sz w:val="28"/>
          <w:szCs w:val="28"/>
        </w:rPr>
        <w:t xml:space="preserve"> ед. </w:t>
      </w:r>
    </w:p>
    <w:p w:rsidR="0069274C" w:rsidRPr="00AA787F" w:rsidRDefault="0069274C" w:rsidP="00AA787F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AA787F">
        <w:rPr>
          <w:bCs/>
          <w:sz w:val="28"/>
          <w:szCs w:val="28"/>
        </w:rPr>
        <w:t>частота:</w:t>
      </w:r>
      <w:r w:rsidRPr="00AA787F">
        <w:rPr>
          <w:sz w:val="28"/>
          <w:szCs w:val="28"/>
        </w:rPr>
        <w:t xml:space="preserve"> 1 раз   </w:t>
      </w:r>
    </w:p>
    <w:p w:rsidR="0069274C" w:rsidRPr="00AA787F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A787F">
        <w:rPr>
          <w:bCs/>
          <w:sz w:val="28"/>
          <w:szCs w:val="28"/>
        </w:rPr>
        <w:t>Действия:</w:t>
      </w:r>
      <w:r w:rsidRPr="00AA787F">
        <w:rPr>
          <w:sz w:val="28"/>
          <w:szCs w:val="28"/>
        </w:rPr>
        <w:t xml:space="preserve"> </w:t>
      </w:r>
    </w:p>
    <w:p w:rsidR="00B30232" w:rsidRPr="00316DE3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316DE3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316DE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316DE3">
        <w:rPr>
          <w:sz w:val="28"/>
          <w:szCs w:val="28"/>
        </w:rPr>
        <w:t xml:space="preserve">           </w:t>
      </w:r>
      <w:r w:rsidR="006F2CCD" w:rsidRPr="00316DE3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316DE3">
        <w:rPr>
          <w:sz w:val="28"/>
          <w:szCs w:val="28"/>
        </w:rPr>
        <w:t>2</w:t>
      </w:r>
      <w:r w:rsidR="006F2CCD" w:rsidRPr="00316DE3">
        <w:rPr>
          <w:sz w:val="28"/>
          <w:szCs w:val="28"/>
        </w:rPr>
        <w:t xml:space="preserve"> чел./часов.</w:t>
      </w:r>
    </w:p>
    <w:p w:rsidR="0069274C" w:rsidRPr="00316DE3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316DE3">
        <w:rPr>
          <w:sz w:val="28"/>
          <w:szCs w:val="28"/>
        </w:rPr>
        <w:t xml:space="preserve">          </w:t>
      </w:r>
      <w:r w:rsidR="0069274C" w:rsidRPr="00316DE3">
        <w:rPr>
          <w:sz w:val="28"/>
          <w:szCs w:val="28"/>
        </w:rPr>
        <w:t>Копирование документов - 0,</w:t>
      </w:r>
      <w:r w:rsidR="00B30232" w:rsidRPr="00316DE3">
        <w:rPr>
          <w:sz w:val="28"/>
          <w:szCs w:val="28"/>
        </w:rPr>
        <w:t>1</w:t>
      </w:r>
      <w:r w:rsidR="0069274C" w:rsidRPr="00316DE3">
        <w:rPr>
          <w:sz w:val="28"/>
          <w:szCs w:val="28"/>
        </w:rPr>
        <w:t>0 чел./часов.</w:t>
      </w:r>
    </w:p>
    <w:p w:rsidR="0069274C" w:rsidRPr="00316DE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316DE3">
        <w:rPr>
          <w:bCs/>
          <w:sz w:val="28"/>
          <w:szCs w:val="28"/>
        </w:rPr>
        <w:t xml:space="preserve">          </w:t>
      </w:r>
      <w:r w:rsidR="0069274C" w:rsidRPr="00316DE3">
        <w:rPr>
          <w:bCs/>
          <w:sz w:val="28"/>
          <w:szCs w:val="28"/>
        </w:rPr>
        <w:t>Список приобретений:</w:t>
      </w:r>
      <w:r w:rsidR="0069274C" w:rsidRPr="00316DE3">
        <w:rPr>
          <w:sz w:val="28"/>
          <w:szCs w:val="28"/>
        </w:rPr>
        <w:t xml:space="preserve"> Нет </w:t>
      </w:r>
    </w:p>
    <w:p w:rsidR="0069274C" w:rsidRPr="00316DE3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316DE3">
        <w:rPr>
          <w:bCs/>
          <w:sz w:val="28"/>
          <w:szCs w:val="28"/>
        </w:rPr>
        <w:t xml:space="preserve">      Среднемесячная номинальная </w:t>
      </w:r>
      <w:r w:rsidR="00E27DCF" w:rsidRPr="00316DE3">
        <w:rPr>
          <w:bCs/>
          <w:sz w:val="28"/>
          <w:szCs w:val="28"/>
        </w:rPr>
        <w:t xml:space="preserve">начисленная </w:t>
      </w:r>
      <w:r w:rsidRPr="00316DE3">
        <w:rPr>
          <w:bCs/>
          <w:sz w:val="28"/>
          <w:szCs w:val="28"/>
        </w:rPr>
        <w:t xml:space="preserve">заработная плата </w:t>
      </w:r>
      <w:r w:rsidR="00E27DCF" w:rsidRPr="00316DE3">
        <w:rPr>
          <w:bCs/>
          <w:sz w:val="28"/>
          <w:szCs w:val="28"/>
        </w:rPr>
        <w:t xml:space="preserve">работников по крупным и средним </w:t>
      </w:r>
      <w:r w:rsidRPr="00316DE3">
        <w:rPr>
          <w:bCs/>
          <w:sz w:val="28"/>
          <w:szCs w:val="28"/>
        </w:rPr>
        <w:t>организаци</w:t>
      </w:r>
      <w:r w:rsidR="00E27DCF" w:rsidRPr="00316DE3">
        <w:rPr>
          <w:bCs/>
          <w:sz w:val="28"/>
          <w:szCs w:val="28"/>
        </w:rPr>
        <w:t xml:space="preserve">ям </w:t>
      </w:r>
      <w:r w:rsidRPr="00316DE3">
        <w:rPr>
          <w:bCs/>
          <w:sz w:val="28"/>
          <w:szCs w:val="28"/>
        </w:rPr>
        <w:t xml:space="preserve">по Краснодарскому краю за </w:t>
      </w:r>
      <w:r w:rsidR="00E27DCF" w:rsidRPr="00316DE3">
        <w:rPr>
          <w:bCs/>
          <w:sz w:val="28"/>
          <w:szCs w:val="28"/>
        </w:rPr>
        <w:t xml:space="preserve">январь-ноябрь 2019 г. </w:t>
      </w:r>
      <w:r w:rsidRPr="00316DE3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316DE3">
        <w:rPr>
          <w:sz w:val="28"/>
          <w:szCs w:val="28"/>
        </w:rPr>
        <w:t xml:space="preserve"> 3</w:t>
      </w:r>
      <w:r w:rsidR="00E27DCF" w:rsidRPr="00316DE3">
        <w:rPr>
          <w:sz w:val="28"/>
          <w:szCs w:val="28"/>
        </w:rPr>
        <w:t>9468</w:t>
      </w:r>
      <w:r w:rsidRPr="00316DE3">
        <w:rPr>
          <w:sz w:val="28"/>
          <w:szCs w:val="28"/>
        </w:rPr>
        <w:t xml:space="preserve">,00 руб. </w:t>
      </w:r>
    </w:p>
    <w:p w:rsidR="0069274C" w:rsidRPr="00316DE3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316DE3">
        <w:rPr>
          <w:bCs/>
          <w:sz w:val="28"/>
          <w:szCs w:val="28"/>
        </w:rPr>
        <w:t xml:space="preserve">         </w:t>
      </w:r>
      <w:r w:rsidR="0069274C" w:rsidRPr="00316DE3">
        <w:rPr>
          <w:bCs/>
          <w:sz w:val="28"/>
          <w:szCs w:val="28"/>
        </w:rPr>
        <w:t>Средняя стоимость часа работы:</w:t>
      </w:r>
      <w:r w:rsidR="0069274C" w:rsidRPr="00316DE3">
        <w:rPr>
          <w:sz w:val="28"/>
          <w:szCs w:val="28"/>
        </w:rPr>
        <w:t xml:space="preserve"> </w:t>
      </w:r>
      <w:r w:rsidRPr="00316DE3">
        <w:rPr>
          <w:sz w:val="28"/>
          <w:szCs w:val="28"/>
        </w:rPr>
        <w:t>2</w:t>
      </w:r>
      <w:r w:rsidR="00316DE3" w:rsidRPr="00316DE3">
        <w:rPr>
          <w:sz w:val="28"/>
          <w:szCs w:val="28"/>
        </w:rPr>
        <w:t>34</w:t>
      </w:r>
      <w:r w:rsidRPr="00316DE3">
        <w:rPr>
          <w:sz w:val="28"/>
          <w:szCs w:val="28"/>
        </w:rPr>
        <w:t>,</w:t>
      </w:r>
      <w:r w:rsidR="00316DE3" w:rsidRPr="00316DE3">
        <w:rPr>
          <w:sz w:val="28"/>
          <w:szCs w:val="28"/>
        </w:rPr>
        <w:t>93</w:t>
      </w:r>
      <w:r w:rsidR="0069274C" w:rsidRPr="00316DE3">
        <w:rPr>
          <w:sz w:val="28"/>
          <w:szCs w:val="28"/>
        </w:rPr>
        <w:t xml:space="preserve"> руб. </w:t>
      </w:r>
    </w:p>
    <w:p w:rsidR="0069274C" w:rsidRPr="00316DE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316DE3">
        <w:rPr>
          <w:sz w:val="28"/>
          <w:szCs w:val="28"/>
        </w:rPr>
        <w:t xml:space="preserve">          Общая стоимость требования: </w:t>
      </w:r>
      <w:r w:rsidR="00316DE3" w:rsidRPr="00316DE3">
        <w:rPr>
          <w:sz w:val="28"/>
          <w:szCs w:val="28"/>
        </w:rPr>
        <w:t>93</w:t>
      </w:r>
      <w:r w:rsidR="009C66EB" w:rsidRPr="00316DE3">
        <w:rPr>
          <w:sz w:val="28"/>
          <w:szCs w:val="28"/>
        </w:rPr>
        <w:t>,</w:t>
      </w:r>
      <w:r w:rsidR="00316DE3" w:rsidRPr="00316DE3">
        <w:rPr>
          <w:sz w:val="28"/>
          <w:szCs w:val="28"/>
        </w:rPr>
        <w:t>97</w:t>
      </w:r>
      <w:r w:rsidRPr="00316DE3">
        <w:rPr>
          <w:sz w:val="28"/>
          <w:szCs w:val="28"/>
        </w:rPr>
        <w:t xml:space="preserve"> руб.</w:t>
      </w:r>
    </w:p>
    <w:p w:rsidR="005902D3" w:rsidRPr="00E27DCF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E3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</w:t>
      </w:r>
      <w:r w:rsidRPr="00E27DCF">
        <w:rPr>
          <w:rFonts w:ascii="Times New Roman" w:hAnsi="Times New Roman" w:cs="Times New Roman"/>
          <w:sz w:val="28"/>
          <w:szCs w:val="28"/>
        </w:rPr>
        <w:t xml:space="preserve"> воздействием проекта, отсутствуют. </w:t>
      </w:r>
    </w:p>
    <w:p w:rsidR="00C373FD" w:rsidRPr="00AA787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7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A787F">
        <w:rPr>
          <w:rFonts w:ascii="Times New Roman" w:hAnsi="Times New Roman" w:cs="Times New Roman"/>
          <w:sz w:val="28"/>
          <w:szCs w:val="28"/>
        </w:rPr>
        <w:t xml:space="preserve"> </w:t>
      </w:r>
      <w:r w:rsidR="0067254F" w:rsidRPr="00AA787F">
        <w:rPr>
          <w:rFonts w:ascii="Times New Roman" w:hAnsi="Times New Roman" w:cs="Times New Roman"/>
          <w:sz w:val="28"/>
          <w:szCs w:val="28"/>
        </w:rPr>
        <w:t xml:space="preserve">3 </w:t>
      </w:r>
      <w:r w:rsidR="00AA787F" w:rsidRPr="00AA787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A787F">
        <w:rPr>
          <w:rFonts w:ascii="Times New Roman" w:hAnsi="Times New Roman" w:cs="Times New Roman"/>
          <w:sz w:val="28"/>
          <w:szCs w:val="28"/>
        </w:rPr>
        <w:t>20</w:t>
      </w:r>
      <w:r w:rsidR="00AA787F" w:rsidRPr="00AA787F">
        <w:rPr>
          <w:rFonts w:ascii="Times New Roman" w:hAnsi="Times New Roman" w:cs="Times New Roman"/>
          <w:sz w:val="28"/>
          <w:szCs w:val="28"/>
        </w:rPr>
        <w:t>20</w:t>
      </w:r>
      <w:r w:rsidRPr="00AA787F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AA787F">
        <w:rPr>
          <w:rFonts w:ascii="Times New Roman" w:hAnsi="Times New Roman" w:cs="Times New Roman"/>
          <w:sz w:val="28"/>
          <w:szCs w:val="28"/>
        </w:rPr>
        <w:t>.</w:t>
      </w:r>
      <w:r w:rsidRPr="00AA787F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AA787F">
        <w:rPr>
          <w:rFonts w:ascii="Times New Roman" w:hAnsi="Times New Roman" w:cs="Times New Roman"/>
          <w:sz w:val="28"/>
          <w:szCs w:val="28"/>
        </w:rPr>
        <w:t>1</w:t>
      </w:r>
      <w:r w:rsidR="0067254F" w:rsidRPr="00AA787F">
        <w:rPr>
          <w:rFonts w:ascii="Times New Roman" w:hAnsi="Times New Roman" w:cs="Times New Roman"/>
          <w:sz w:val="28"/>
          <w:szCs w:val="28"/>
        </w:rPr>
        <w:t xml:space="preserve">7 </w:t>
      </w:r>
      <w:r w:rsidR="00AA787F" w:rsidRPr="00AA787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A787F">
        <w:rPr>
          <w:rFonts w:ascii="Times New Roman" w:hAnsi="Times New Roman" w:cs="Times New Roman"/>
          <w:sz w:val="28"/>
          <w:szCs w:val="28"/>
        </w:rPr>
        <w:t>20</w:t>
      </w:r>
      <w:r w:rsidR="00AA787F" w:rsidRPr="00AA787F">
        <w:rPr>
          <w:rFonts w:ascii="Times New Roman" w:hAnsi="Times New Roman" w:cs="Times New Roman"/>
          <w:sz w:val="28"/>
          <w:szCs w:val="28"/>
        </w:rPr>
        <w:t>20</w:t>
      </w:r>
      <w:r w:rsidRPr="00AA78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AA787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7F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</w:t>
      </w:r>
      <w:r w:rsidRPr="00AA787F">
        <w:rPr>
          <w:rFonts w:ascii="Times New Roman" w:hAnsi="Times New Roman" w:cs="Times New Roman"/>
          <w:sz w:val="28"/>
          <w:szCs w:val="28"/>
        </w:rPr>
        <w:lastRenderedPageBreak/>
        <w:t>ния Тимашевский район (</w:t>
      </w:r>
      <w:hyperlink r:id="rId15" w:history="1">
        <w:r w:rsidRPr="00AA787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A787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A787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AA787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A787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A787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A787F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7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AA787F">
        <w:rPr>
          <w:rFonts w:ascii="Times New Roman" w:hAnsi="Times New Roman" w:cs="Times New Roman"/>
          <w:sz w:val="28"/>
          <w:szCs w:val="28"/>
        </w:rPr>
        <w:t>В.В. Озерову</w:t>
      </w:r>
      <w:r w:rsidRPr="00AA787F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AA787F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AA787F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AA787F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AA787F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AA787F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A787F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7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A787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7F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AA787F">
        <w:rPr>
          <w:rFonts w:ascii="Times New Roman" w:hAnsi="Times New Roman"/>
          <w:sz w:val="28"/>
          <w:szCs w:val="28"/>
        </w:rPr>
        <w:t>юридических лиц</w:t>
      </w:r>
      <w:r w:rsidRPr="00AA787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A787F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403C6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57814" w:rsidRPr="00403C6B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403C6B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A7" w:rsidRDefault="005154A7" w:rsidP="00EA4018">
      <w:r>
        <w:separator/>
      </w:r>
    </w:p>
  </w:endnote>
  <w:endnote w:type="continuationSeparator" w:id="0">
    <w:p w:rsidR="005154A7" w:rsidRDefault="005154A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A7" w:rsidRDefault="005154A7" w:rsidP="00EA4018">
      <w:r>
        <w:separator/>
      </w:r>
    </w:p>
  </w:footnote>
  <w:footnote w:type="continuationSeparator" w:id="0">
    <w:p w:rsidR="005154A7" w:rsidRDefault="005154A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14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5DF8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403B1C"/>
    <w:rsid w:val="00403C6B"/>
    <w:rsid w:val="00404B14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0151F"/>
    <w:rsid w:val="005154A7"/>
    <w:rsid w:val="00516B94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4BC1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626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E6278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4A14"/>
    <w:rsid w:val="00C373FD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8559B"/>
    <w:rsid w:val="00C9295F"/>
    <w:rsid w:val="00C935FD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2D14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13" Type="http://schemas.openxmlformats.org/officeDocument/2006/relationships/hyperlink" Target="consultantplus://offline/ref=7A1E37757FA943165B24B53EC0E800504270B2F2FE70DF40C15A17C6341A631D38C0C9258B3B6CA8ZBiF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1E37757FA943165B24B53EC0E800504270B2F2FE70DF40C15A17C6341A631D38C0C9218BZ3iA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1E37757FA943165B24B53EC0E800504270B2F2FE70DF40C15A17C6341A631D38C0C9258B3B68A1ZB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mregio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1E37757FA943165B24B53EC0E800504270B2F2FE70DF40C15A17C6341A631D38C0C9208FZ3i2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8AE342915681B36EA5B985D6BDF5B26607B494372BB6D177E47914589FC323D74E1F8A4959904804222E8D08C7E6D8793FF78598FR7oDI" TargetMode="External"/><Relationship Id="rId14" Type="http://schemas.openxmlformats.org/officeDocument/2006/relationships/hyperlink" Target="garantF1://12027232.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ABB1-FEA1-4052-9038-1F7F2EB0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9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698</cp:revision>
  <cp:lastPrinted>2019-11-15T06:32:00Z</cp:lastPrinted>
  <dcterms:created xsi:type="dcterms:W3CDTF">2015-04-10T06:47:00Z</dcterms:created>
  <dcterms:modified xsi:type="dcterms:W3CDTF">2020-02-21T06:13:00Z</dcterms:modified>
</cp:coreProperties>
</file>