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</w:tblGrid>
      <w:tr w:rsidR="00DF4E19" w:rsidTr="00362AA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E19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Тимашевский район </w:t>
            </w:r>
          </w:p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</w:tc>
      </w:tr>
    </w:tbl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муниципального 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DF4E19" w:rsidRDefault="00DF4E19" w:rsidP="00DF4E1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 порта»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ПАСПОРТ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1628"/>
        <w:gridCol w:w="1632"/>
        <w:gridCol w:w="1701"/>
        <w:gridCol w:w="1559"/>
        <w:gridCol w:w="30"/>
      </w:tblGrid>
      <w:tr w:rsidR="00DF4E19" w:rsidRPr="00E45143" w:rsidTr="00362AA0">
        <w:trPr>
          <w:trHeight w:val="511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F4E19" w:rsidRPr="00E45143" w:rsidTr="00362AA0">
        <w:trPr>
          <w:trHeight w:val="593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F4E19" w:rsidRPr="00E45143" w:rsidTr="00362AA0">
        <w:trPr>
          <w:trHeight w:val="605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развитие системы управления отраслью физической культуры и спорта</w:t>
            </w:r>
          </w:p>
        </w:tc>
      </w:tr>
      <w:tr w:rsidR="00DF4E19" w:rsidRPr="00E45143" w:rsidTr="00362AA0">
        <w:trPr>
          <w:trHeight w:val="622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организаций в сфере физической культуры и спорта</w:t>
            </w:r>
          </w:p>
        </w:tc>
      </w:tr>
      <w:tr w:rsidR="00DF4E19" w:rsidRPr="00E45143" w:rsidTr="00362AA0">
        <w:trPr>
          <w:trHeight w:val="861"/>
          <w:tblCellSpacing w:w="5" w:type="nil"/>
        </w:trPr>
        <w:tc>
          <w:tcPr>
            <w:tcW w:w="3039" w:type="dxa"/>
          </w:tcPr>
          <w:p w:rsidR="00DF4E19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освоение средств районного бюджета, выделенных в соответствии с бюджетной сметой;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число обученных на курсах повышения квалификации</w:t>
            </w:r>
          </w:p>
        </w:tc>
      </w:tr>
      <w:tr w:rsidR="00DF4E19" w:rsidRPr="00E45143" w:rsidTr="00362AA0">
        <w:trPr>
          <w:trHeight w:val="255"/>
          <w:tblCellSpacing w:w="5" w:type="nil"/>
        </w:trPr>
        <w:tc>
          <w:tcPr>
            <w:tcW w:w="3039" w:type="dxa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550" w:type="dxa"/>
            <w:gridSpan w:val="5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тапы не предусмотрены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F4E19" w:rsidRPr="00E45143" w:rsidTr="00362AA0">
        <w:trPr>
          <w:trHeight w:val="278"/>
          <w:tblCellSpacing w:w="5" w:type="nil"/>
        </w:trPr>
        <w:tc>
          <w:tcPr>
            <w:tcW w:w="3039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тыс. рублей</w:t>
            </w:r>
          </w:p>
        </w:tc>
        <w:tc>
          <w:tcPr>
            <w:tcW w:w="1628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22" w:type="dxa"/>
            <w:gridSpan w:val="4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vMerge w:val="restart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628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</w:tr>
      <w:tr w:rsidR="00DF4E19" w:rsidRPr="00E44FBD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</w:tr>
      <w:tr w:rsidR="00DF4E19" w:rsidRPr="00E44FBD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3139,6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3139,6</w:t>
            </w:r>
          </w:p>
        </w:tc>
      </w:tr>
      <w:tr w:rsidR="00DF4E19" w:rsidRPr="00E44FBD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DF4E19" w:rsidRPr="00E44FBD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DF4E19" w:rsidRPr="00E45143" w:rsidTr="00362AA0">
        <w:trPr>
          <w:gridAfter w:val="1"/>
          <w:wAfter w:w="30" w:type="dxa"/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19871,6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19871,6</w:t>
            </w:r>
          </w:p>
        </w:tc>
      </w:tr>
    </w:tbl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  <w:bookmarkStart w:id="0" w:name="Par4068"/>
      <w:bookmarkStart w:id="1" w:name="Par4104"/>
      <w:bookmarkStart w:id="2" w:name="Par4125"/>
      <w:bookmarkEnd w:id="0"/>
      <w:bookmarkEnd w:id="1"/>
      <w:bookmarkEnd w:id="2"/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575D8" w:rsidRPr="005D5250" w:rsidRDefault="005575D8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F4E19" w:rsidRPr="00D542C2" w:rsidRDefault="00DF4E19" w:rsidP="00DF4E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03A"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sz w:val="28"/>
          <w:szCs w:val="28"/>
        </w:rPr>
        <w:t>елевые показатели П</w:t>
      </w:r>
      <w:r w:rsidRPr="00D542C2">
        <w:rPr>
          <w:rFonts w:ascii="Times New Roman" w:hAnsi="Times New Roman"/>
          <w:b/>
          <w:sz w:val="28"/>
          <w:szCs w:val="28"/>
        </w:rPr>
        <w:t>одпрограммы</w:t>
      </w:r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</w:p>
    <w:p w:rsidR="00DF4E19" w:rsidRPr="00DC5702" w:rsidRDefault="00DF4E19" w:rsidP="00DF4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показателях муниципальной программы </w:t>
      </w:r>
      <w:r w:rsidRPr="00DC5702">
        <w:rPr>
          <w:rFonts w:ascii="Times New Roman" w:hAnsi="Times New Roman"/>
          <w:bCs/>
          <w:sz w:val="28"/>
          <w:szCs w:val="28"/>
        </w:rPr>
        <w:t>«Финансовая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кредитования» (далее – муниципальная Программа)</w:t>
      </w:r>
      <w:r w:rsidRPr="00DC5702">
        <w:rPr>
          <w:rFonts w:ascii="Times New Roman" w:hAnsi="Times New Roman"/>
          <w:sz w:val="28"/>
          <w:szCs w:val="28"/>
        </w:rPr>
        <w:t xml:space="preserve"> приведены в приложении № 1 к муниципальной Программе.</w:t>
      </w:r>
    </w:p>
    <w:p w:rsidR="00DF4E19" w:rsidRPr="002A7DB5" w:rsidRDefault="00DF4E19" w:rsidP="00DF4E19">
      <w:pPr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DF4E19" w:rsidRPr="00142C0E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DF4E19" w:rsidRPr="00E0338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</w:p>
    <w:p w:rsidR="00DF4E19" w:rsidRPr="007E2A4E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Pr="00D542C2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5702">
        <w:rPr>
          <w:rFonts w:ascii="Times New Roman" w:hAnsi="Times New Roman"/>
          <w:sz w:val="28"/>
          <w:szCs w:val="28"/>
        </w:rPr>
        <w:t xml:space="preserve">Перечень основных мероприятий представлен в </w:t>
      </w:r>
      <w:r>
        <w:rPr>
          <w:rFonts w:ascii="Times New Roman" w:hAnsi="Times New Roman"/>
          <w:sz w:val="28"/>
          <w:szCs w:val="28"/>
        </w:rPr>
        <w:t>приложении № 1 Подпрограммы.</w:t>
      </w:r>
      <w:bookmarkStart w:id="3" w:name="Par4136"/>
      <w:bookmarkEnd w:id="3"/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F4E19" w:rsidRPr="00E0338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DF4E19" w:rsidRPr="007C531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 реализации мероприятий подпрограммы осуществляет отдел по физической культуре и спорту администрации муниципального образования Тимашевский район - координатор программы.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заказчиков и участников мероприятий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информационную и разъяснительную работу, направленную на освещение целей и задач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подпрограммы в целом;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DF4E19" w:rsidRDefault="00DF4E19" w:rsidP="00DF4E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в отдел финансового контроля администрации муниципального образования Тимашевский район сводный отчет, который содержит: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подпрограммы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и источников финансирования и непосредственных результатов выполнения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подпрограммы и доклад о ходе реализации муниципальной подпрограммы направляются координатором подпрограммы в отдел финансового контроля администрации муниципального образования Тимашевский район до 10 февраля года, следующего за отчетным годом.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            отдела по физической культуре и спорту администрации муниципального образования Тимашевский район.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Pr="00B53E83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Тимашевский район                                           </w:t>
      </w:r>
      <w:r w:rsidR="005575D8">
        <w:rPr>
          <w:rFonts w:ascii="Times New Roman" w:hAnsi="Times New Roman"/>
          <w:sz w:val="28"/>
          <w:szCs w:val="28"/>
        </w:rPr>
        <w:t xml:space="preserve">  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А.С. Галецкий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41" w:rsidRDefault="00D54741"/>
    <w:sectPr w:rsidR="00D54741" w:rsidSect="00DF4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19" w:rsidRDefault="00DF4E19" w:rsidP="00DF4E19">
      <w:pPr>
        <w:spacing w:after="0" w:line="240" w:lineRule="auto"/>
      </w:pPr>
      <w:r>
        <w:separator/>
      </w:r>
    </w:p>
  </w:endnote>
  <w:endnote w:type="continuationSeparator" w:id="0">
    <w:p w:rsidR="00DF4E19" w:rsidRDefault="00DF4E19" w:rsidP="00DF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19" w:rsidRDefault="00DF4E19" w:rsidP="00DF4E19">
      <w:pPr>
        <w:spacing w:after="0" w:line="240" w:lineRule="auto"/>
      </w:pPr>
      <w:r>
        <w:separator/>
      </w:r>
    </w:p>
  </w:footnote>
  <w:footnote w:type="continuationSeparator" w:id="0">
    <w:p w:rsidR="00DF4E19" w:rsidRDefault="00DF4E19" w:rsidP="00DF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0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F4E19" w:rsidRPr="00DF4E19" w:rsidRDefault="005575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DF4E19" w:rsidRDefault="00DF4E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6F"/>
    <w:rsid w:val="005575D8"/>
    <w:rsid w:val="009A196F"/>
    <w:rsid w:val="00CE4243"/>
    <w:rsid w:val="00D54741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E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DF4E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4E19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E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E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E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DF4E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4E19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E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E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2023-11-28T14:00:00Z</dcterms:created>
  <dcterms:modified xsi:type="dcterms:W3CDTF">2023-11-28T14:22:00Z</dcterms:modified>
</cp:coreProperties>
</file>