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A553F" w:rsidRPr="00E45F2E" w:rsidTr="007204E1">
        <w:tc>
          <w:tcPr>
            <w:tcW w:w="1741"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6A553F">
              <w:rPr>
                <w:rFonts w:ascii="Times New Roman" w:hAnsi="Times New Roman" w:cs="Times New Roman"/>
                <w:sz w:val="28"/>
                <w:szCs w:val="28"/>
              </w:rPr>
              <w:lastRenderedPageBreak/>
              <w:t>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lastRenderedPageBreak/>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E70397">
              <w:rPr>
                <w:rFonts w:ascii="Times New Roman" w:hAnsi="Times New Roman" w:cs="Times New Roman"/>
                <w:sz w:val="28"/>
                <w:szCs w:val="28"/>
              </w:rPr>
              <w:lastRenderedPageBreak/>
              <w:t xml:space="preserve">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roofErr w:type="gramEnd"/>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 xml:space="preserve">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w:t>
            </w:r>
            <w:r w:rsidRPr="00C215C8">
              <w:rPr>
                <w:rFonts w:ascii="Times New Roman" w:hAnsi="Times New Roman" w:cs="Times New Roman"/>
                <w:sz w:val="28"/>
                <w:szCs w:val="28"/>
              </w:rPr>
              <w:lastRenderedPageBreak/>
              <w:t>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w:t>
            </w:r>
            <w:r w:rsidRPr="00A816C9">
              <w:rPr>
                <w:rFonts w:ascii="Times New Roman" w:hAnsi="Times New Roman" w:cs="Times New Roman"/>
                <w:sz w:val="28"/>
                <w:szCs w:val="28"/>
              </w:rPr>
              <w:lastRenderedPageBreak/>
              <w:t>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Создание условий для проведения мероприятий в сфере </w:t>
            </w:r>
            <w:r w:rsidRPr="00E45F2E">
              <w:rPr>
                <w:rFonts w:ascii="Times New Roman" w:hAnsi="Times New Roman" w:cs="Times New Roman"/>
                <w:color w:val="000000" w:themeColor="text1"/>
                <w:sz w:val="28"/>
                <w:szCs w:val="28"/>
              </w:rPr>
              <w:lastRenderedPageBreak/>
              <w:t>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lastRenderedPageBreak/>
              <w:t xml:space="preserve">Стипендии администрации Тимашевского района </w:t>
            </w:r>
            <w:r w:rsidRPr="00E45F2E">
              <w:rPr>
                <w:rFonts w:ascii="Times New Roman" w:hAnsi="Times New Roman" w:cs="Times New Roman"/>
                <w:sz w:val="28"/>
                <w:szCs w:val="28"/>
              </w:rPr>
              <w:lastRenderedPageBreak/>
              <w:t>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lastRenderedPageBreak/>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7204E1">
        <w:tc>
          <w:tcPr>
            <w:tcW w:w="1741"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lastRenderedPageBreak/>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типендии главы муниципального образования Тимашевский район для одаренных учащихся муниципальных бюджетных учреждений дополнительного образования муниципального образования Тимашевский район в области культуры и искусства</w:t>
            </w:r>
          </w:p>
        </w:tc>
      </w:tr>
      <w:tr w:rsidR="00426DE1" w:rsidRPr="00E45F2E" w:rsidTr="007204E1">
        <w:tc>
          <w:tcPr>
            <w:tcW w:w="1741"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lastRenderedPageBreak/>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w:t>
            </w:r>
            <w:r w:rsidRPr="003030ED">
              <w:rPr>
                <w:rFonts w:ascii="Times New Roman" w:hAnsi="Times New Roman" w:cs="Times New Roman"/>
                <w:sz w:val="28"/>
                <w:szCs w:val="28"/>
              </w:rPr>
              <w:lastRenderedPageBreak/>
              <w:t>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lastRenderedPageBreak/>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Дополнительное использование собственных финансовых средств из бюджета муниципального образования Тимашевский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7204E1">
        <w:tc>
          <w:tcPr>
            <w:tcW w:w="1741"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Приобретение путевок для организации отдыха учащихся муниципальных учреждений физической культуры и спорта в </w:t>
            </w:r>
            <w:r w:rsidRPr="00E45F2E">
              <w:rPr>
                <w:rFonts w:ascii="Times New Roman" w:hAnsi="Times New Roman" w:cs="Times New Roman"/>
                <w:color w:val="000000"/>
                <w:sz w:val="28"/>
                <w:szCs w:val="28"/>
              </w:rPr>
              <w:lastRenderedPageBreak/>
              <w:t>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 xml:space="preserve">Реализация мероприятий, направленных на финансирование муниципальных организаций отрасли "Физическая культура </w:t>
            </w:r>
            <w:r w:rsidRPr="00560E51">
              <w:rPr>
                <w:rFonts w:ascii="Times New Roman" w:hAnsi="Times New Roman" w:cs="Times New Roman"/>
                <w:sz w:val="28"/>
                <w:szCs w:val="28"/>
              </w:rPr>
              <w:lastRenderedPageBreak/>
              <w:t>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7204E1">
        <w:tc>
          <w:tcPr>
            <w:tcW w:w="1741"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lastRenderedPageBreak/>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w:t>
            </w:r>
            <w:bookmarkStart w:id="0" w:name="_GoBack"/>
            <w:bookmarkEnd w:id="0"/>
            <w:r w:rsidRPr="007A62F2">
              <w:rPr>
                <w:rFonts w:ascii="Times New Roman" w:hAnsi="Times New Roman" w:cs="Times New Roman"/>
                <w:sz w:val="28"/>
                <w:szCs w:val="28"/>
              </w:rPr>
              <w:t xml:space="preserve">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F217B0" w:rsidRPr="00E45F2E" w:rsidTr="007204E1">
        <w:tc>
          <w:tcPr>
            <w:tcW w:w="1741" w:type="dxa"/>
          </w:tcPr>
          <w:p w:rsidR="00F217B0" w:rsidRPr="00F217B0" w:rsidRDefault="00F217B0" w:rsidP="00496E16">
            <w:pPr>
              <w:rPr>
                <w:rFonts w:ascii="Times New Roman" w:hAnsi="Times New Roman" w:cs="Times New Roman"/>
                <w:sz w:val="28"/>
                <w:szCs w:val="28"/>
              </w:rPr>
            </w:pPr>
            <w:r>
              <w:rPr>
                <w:rFonts w:ascii="Times New Roman" w:hAnsi="Times New Roman" w:cs="Times New Roman"/>
                <w:sz w:val="28"/>
                <w:szCs w:val="28"/>
              </w:rPr>
              <w:lastRenderedPageBreak/>
              <w:t>0511160820</w:t>
            </w:r>
          </w:p>
        </w:tc>
        <w:tc>
          <w:tcPr>
            <w:tcW w:w="7660" w:type="dxa"/>
          </w:tcPr>
          <w:p w:rsidR="00F217B0" w:rsidRPr="00F217B0" w:rsidRDefault="00F217B0" w:rsidP="00FB0C18">
            <w:pPr>
              <w:rPr>
                <w:rFonts w:ascii="Times New Roman" w:hAnsi="Times New Roman" w:cs="Times New Roman"/>
                <w:sz w:val="28"/>
                <w:szCs w:val="28"/>
              </w:rPr>
            </w:pPr>
            <w:r w:rsidRPr="00F217B0">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r w:rsidRPr="00007C02">
              <w:rPr>
                <w:rFonts w:ascii="Times New Roman" w:hAnsi="Times New Roman" w:cs="Times New Roman"/>
                <w:sz w:val="28"/>
                <w:szCs w:val="28"/>
              </w:rPr>
              <w:lastRenderedPageBreak/>
              <w:t>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Подготовка населения и организаций к действиям в </w:t>
            </w:r>
            <w:r w:rsidRPr="00E45F2E">
              <w:rPr>
                <w:rFonts w:ascii="Times New Roman" w:hAnsi="Times New Roman" w:cs="Times New Roman"/>
                <w:sz w:val="28"/>
                <w:szCs w:val="28"/>
              </w:rPr>
              <w:lastRenderedPageBreak/>
              <w:t>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lastRenderedPageBreak/>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Разработка паспорта безопасности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w:t>
            </w:r>
            <w:r w:rsidRPr="00AA7A94">
              <w:rPr>
                <w:rFonts w:ascii="Times New Roman" w:hAnsi="Times New Roman" w:cs="Times New Roman"/>
                <w:sz w:val="28"/>
                <w:szCs w:val="28"/>
              </w:rPr>
              <w:lastRenderedPageBreak/>
              <w:t>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 xml:space="preserve">участвующих в обеспечении безопасности жизнедеятельности населения </w:t>
            </w:r>
            <w:r w:rsidRPr="00B0680A">
              <w:rPr>
                <w:rFonts w:ascii="Times New Roman" w:hAnsi="Times New Roman" w:cs="Times New Roman"/>
                <w:sz w:val="28"/>
                <w:szCs w:val="28"/>
              </w:rPr>
              <w:lastRenderedPageBreak/>
              <w:t>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lastRenderedPageBreak/>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w:t>
            </w:r>
            <w:r w:rsidRPr="00E45F2E">
              <w:rPr>
                <w:rFonts w:ascii="Times New Roman" w:hAnsi="Times New Roman" w:cs="Times New Roman"/>
                <w:sz w:val="28"/>
                <w:szCs w:val="28"/>
              </w:rPr>
              <w:lastRenderedPageBreak/>
              <w:t>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lastRenderedPageBreak/>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Тимашевский </w:t>
            </w:r>
            <w:r w:rsidRPr="007377F5">
              <w:rPr>
                <w:rFonts w:ascii="Times New Roman" w:hAnsi="Times New Roman" w:cs="Times New Roman"/>
                <w:sz w:val="28"/>
                <w:szCs w:val="28"/>
              </w:rPr>
              <w:lastRenderedPageBreak/>
              <w:t>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lastRenderedPageBreak/>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lastRenderedPageBreak/>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r w:rsidRPr="00630ADB">
              <w:rPr>
                <w:rFonts w:ascii="Times New Roman" w:hAnsi="Times New Roman" w:cs="Times New Roman"/>
                <w:sz w:val="28"/>
                <w:szCs w:val="28"/>
              </w:rPr>
              <w:lastRenderedPageBreak/>
              <w:t>Тимашевский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lastRenderedPageBreak/>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 xml:space="preserve">Создание условий для инвестиционной </w:t>
            </w:r>
            <w:r w:rsidRPr="002D1279">
              <w:rPr>
                <w:rFonts w:ascii="Times New Roman" w:hAnsi="Times New Roman" w:cs="Times New Roman"/>
                <w:sz w:val="28"/>
                <w:szCs w:val="28"/>
              </w:rPr>
              <w:lastRenderedPageBreak/>
              <w:t>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Обеспечение квалифицированными специалистами бюджетных учреждений образования, культуры, здравоохранения Тимашевского района путем улучшения их 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lastRenderedPageBreak/>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21693C" w:rsidRPr="00E45F2E" w:rsidTr="007204E1">
        <w:tc>
          <w:tcPr>
            <w:tcW w:w="1741" w:type="dxa"/>
          </w:tcPr>
          <w:p w:rsidR="0021693C" w:rsidRPr="0021693C" w:rsidRDefault="0021693C"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21693C" w:rsidRPr="00E45F2E" w:rsidTr="007204E1">
        <w:tc>
          <w:tcPr>
            <w:tcW w:w="1741"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 xml:space="preserve">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w:t>
            </w:r>
            <w:r w:rsidRPr="000F3EC9">
              <w:rPr>
                <w:rFonts w:ascii="Times New Roman" w:hAnsi="Times New Roman" w:cs="Times New Roman"/>
                <w:sz w:val="28"/>
                <w:szCs w:val="28"/>
              </w:rPr>
              <w:lastRenderedPageBreak/>
              <w:t>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lastRenderedPageBreak/>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w:t>
            </w:r>
            <w:r w:rsidRPr="000C654C">
              <w:rPr>
                <w:rFonts w:ascii="Times New Roman" w:hAnsi="Times New Roman" w:cs="Times New Roman"/>
                <w:snapToGrid w:val="0"/>
                <w:sz w:val="28"/>
                <w:szCs w:val="28"/>
              </w:rPr>
              <w:lastRenderedPageBreak/>
              <w:t>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lastRenderedPageBreak/>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w:t>
            </w:r>
            <w:r w:rsidRPr="000C654C">
              <w:rPr>
                <w:rFonts w:ascii="Times New Roman" w:hAnsi="Times New Roman" w:cs="Times New Roman"/>
                <w:snapToGrid w:val="0"/>
                <w:sz w:val="28"/>
                <w:szCs w:val="28"/>
              </w:rPr>
              <w:lastRenderedPageBreak/>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F217B0">
          <w:rPr>
            <w:noProof/>
          </w:rPr>
          <w:t>16</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F217B0">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17B0"/>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008E-9929-425C-BBA3-5F7606FE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33</Pages>
  <Words>10247</Words>
  <Characters>58409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Лиана Максименко</cp:lastModifiedBy>
  <cp:revision>284</cp:revision>
  <cp:lastPrinted>2023-04-03T11:37:00Z</cp:lastPrinted>
  <dcterms:created xsi:type="dcterms:W3CDTF">2019-09-05T12:52:00Z</dcterms:created>
  <dcterms:modified xsi:type="dcterms:W3CDTF">2024-11-13T12:40:00Z</dcterms:modified>
</cp:coreProperties>
</file>