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BC" w:rsidRDefault="00163676" w:rsidP="002A3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реализации</w:t>
      </w:r>
      <w:r w:rsidR="001414BC">
        <w:rPr>
          <w:rFonts w:ascii="Times New Roman" w:hAnsi="Times New Roman" w:cs="Times New Roman"/>
          <w:sz w:val="28"/>
          <w:szCs w:val="28"/>
        </w:rPr>
        <w:t xml:space="preserve"> </w:t>
      </w:r>
      <w:r w:rsidR="00FA61D4">
        <w:rPr>
          <w:rFonts w:ascii="Times New Roman" w:hAnsi="Times New Roman" w:cs="Times New Roman"/>
          <w:sz w:val="28"/>
          <w:szCs w:val="28"/>
        </w:rPr>
        <w:t>мероприятий</w:t>
      </w:r>
      <w:r w:rsidR="001414BC">
        <w:rPr>
          <w:rFonts w:ascii="Times New Roman" w:hAnsi="Times New Roman" w:cs="Times New Roman"/>
          <w:sz w:val="28"/>
          <w:szCs w:val="28"/>
        </w:rPr>
        <w:t xml:space="preserve"> </w:t>
      </w:r>
      <w:r w:rsidR="00FA61D4">
        <w:rPr>
          <w:rFonts w:ascii="Times New Roman" w:hAnsi="Times New Roman" w:cs="Times New Roman"/>
          <w:sz w:val="28"/>
          <w:szCs w:val="28"/>
        </w:rPr>
        <w:t>по достижению</w:t>
      </w:r>
      <w:r w:rsidR="00FA61D4" w:rsidRPr="00CB3731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414BC">
        <w:rPr>
          <w:rFonts w:ascii="Times New Roman" w:hAnsi="Times New Roman" w:cs="Times New Roman"/>
          <w:sz w:val="28"/>
          <w:szCs w:val="28"/>
        </w:rPr>
        <w:t xml:space="preserve"> </w:t>
      </w:r>
      <w:r w:rsidR="00FA61D4" w:rsidRPr="00CB3731">
        <w:rPr>
          <w:rFonts w:ascii="Times New Roman" w:hAnsi="Times New Roman" w:cs="Times New Roman"/>
          <w:sz w:val="28"/>
          <w:szCs w:val="28"/>
        </w:rPr>
        <w:t>и показателей</w:t>
      </w:r>
      <w:r w:rsidR="00FA61D4">
        <w:rPr>
          <w:rFonts w:ascii="Times New Roman" w:hAnsi="Times New Roman" w:cs="Times New Roman"/>
          <w:sz w:val="28"/>
          <w:szCs w:val="28"/>
        </w:rPr>
        <w:t xml:space="preserve"> региональных проектов в рамках</w:t>
      </w:r>
      <w:r w:rsidR="00FA61D4" w:rsidRPr="00CB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4BC" w:rsidRDefault="00FA61D4" w:rsidP="002A3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731">
        <w:rPr>
          <w:rFonts w:ascii="Times New Roman" w:hAnsi="Times New Roman" w:cs="Times New Roman"/>
          <w:sz w:val="28"/>
          <w:szCs w:val="28"/>
        </w:rPr>
        <w:t>национальных проектов (программ)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4C2D">
        <w:rPr>
          <w:rFonts w:ascii="Times New Roman" w:hAnsi="Times New Roman" w:cs="Times New Roman"/>
          <w:sz w:val="28"/>
          <w:szCs w:val="28"/>
        </w:rPr>
        <w:t xml:space="preserve"> </w:t>
      </w:r>
      <w:r w:rsidRPr="00CB3731">
        <w:rPr>
          <w:rFonts w:ascii="Times New Roman" w:hAnsi="Times New Roman" w:cs="Times New Roman"/>
          <w:sz w:val="28"/>
          <w:szCs w:val="28"/>
        </w:rPr>
        <w:t>определенных Указом Президента Российской Федерации от 7 мая 2018 г. № 204</w:t>
      </w:r>
    </w:p>
    <w:p w:rsidR="00E63E38" w:rsidRDefault="00FA61D4" w:rsidP="002A3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731">
        <w:rPr>
          <w:rFonts w:ascii="Times New Roman" w:hAnsi="Times New Roman" w:cs="Times New Roman"/>
          <w:sz w:val="28"/>
          <w:szCs w:val="28"/>
        </w:rPr>
        <w:t xml:space="preserve">«О национальных целях </w:t>
      </w:r>
      <w:r w:rsidR="00163676">
        <w:rPr>
          <w:rFonts w:ascii="Times New Roman" w:hAnsi="Times New Roman" w:cs="Times New Roman"/>
          <w:sz w:val="28"/>
          <w:szCs w:val="28"/>
        </w:rPr>
        <w:t xml:space="preserve"> и</w:t>
      </w:r>
      <w:r w:rsidRPr="00CB3731">
        <w:rPr>
          <w:rFonts w:ascii="Times New Roman" w:hAnsi="Times New Roman" w:cs="Times New Roman"/>
          <w:sz w:val="28"/>
          <w:szCs w:val="28"/>
        </w:rPr>
        <w:t xml:space="preserve"> стратегических задачах развития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CB3731">
        <w:rPr>
          <w:rFonts w:ascii="Times New Roman" w:hAnsi="Times New Roman" w:cs="Times New Roman"/>
          <w:sz w:val="28"/>
          <w:szCs w:val="28"/>
        </w:rPr>
        <w:t>Федерации на период до 2024 года»</w:t>
      </w:r>
    </w:p>
    <w:p w:rsidR="00331DBF" w:rsidRDefault="00331DBF" w:rsidP="002A3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6D5" w:rsidRPr="004E46D5" w:rsidRDefault="004E46D5" w:rsidP="004E46D5">
      <w:pPr>
        <w:widowControl w:val="0"/>
        <w:spacing w:after="0" w:line="240" w:lineRule="auto"/>
        <w:rPr>
          <w:sz w:val="2"/>
        </w:rPr>
      </w:pPr>
    </w:p>
    <w:tbl>
      <w:tblPr>
        <w:tblStyle w:val="a4"/>
        <w:tblW w:w="5070" w:type="pct"/>
        <w:tblLayout w:type="fixed"/>
        <w:tblLook w:val="04A0" w:firstRow="1" w:lastRow="0" w:firstColumn="1" w:lastColumn="0" w:noHBand="0" w:noVBand="1"/>
      </w:tblPr>
      <w:tblGrid>
        <w:gridCol w:w="544"/>
        <w:gridCol w:w="2502"/>
        <w:gridCol w:w="3305"/>
        <w:gridCol w:w="2270"/>
        <w:gridCol w:w="1982"/>
        <w:gridCol w:w="4390"/>
      </w:tblGrid>
      <w:tr w:rsidR="00AC11D9" w:rsidTr="00B305A3">
        <w:trPr>
          <w:trHeight w:val="254"/>
          <w:tblHeader/>
        </w:trPr>
        <w:tc>
          <w:tcPr>
            <w:tcW w:w="181" w:type="pct"/>
          </w:tcPr>
          <w:p w:rsidR="00AC11D9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11D9" w:rsidRPr="00AF01F7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7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7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4" w:type="pct"/>
          </w:tcPr>
          <w:p w:rsidR="00AC11D9" w:rsidRPr="00AF01F7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102" w:type="pct"/>
          </w:tcPr>
          <w:p w:rsidR="00AC11D9" w:rsidRPr="00AF01F7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до 2024 года 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proofErr w:type="gramEnd"/>
          </w:p>
        </w:tc>
        <w:tc>
          <w:tcPr>
            <w:tcW w:w="757" w:type="pct"/>
          </w:tcPr>
          <w:p w:rsidR="00AC11D9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94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1D9" w:rsidRPr="00AF01F7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79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661" w:type="pct"/>
          </w:tcPr>
          <w:p w:rsidR="00AC11D9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C11D9" w:rsidRPr="00AF01F7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AC11D9" w:rsidRDefault="00AC11D9" w:rsidP="006735F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6735FF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AC11D9" w:rsidTr="00B305A3">
        <w:trPr>
          <w:trHeight w:val="254"/>
          <w:tblHeader/>
        </w:trPr>
        <w:tc>
          <w:tcPr>
            <w:tcW w:w="181" w:type="pct"/>
          </w:tcPr>
          <w:p w:rsidR="00AC11D9" w:rsidRPr="00AF01F7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AC11D9" w:rsidRPr="00AF01F7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pct"/>
          </w:tcPr>
          <w:p w:rsidR="00AC11D9" w:rsidRPr="00AF01F7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AC11D9" w:rsidRPr="00AF01F7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</w:tcPr>
          <w:p w:rsidR="00AC11D9" w:rsidRPr="00AF01F7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pct"/>
          </w:tcPr>
          <w:p w:rsidR="00AC11D9" w:rsidRPr="00AF01F7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55AA" w:rsidTr="00B305A3">
        <w:trPr>
          <w:trHeight w:val="254"/>
        </w:trPr>
        <w:tc>
          <w:tcPr>
            <w:tcW w:w="181" w:type="pct"/>
          </w:tcPr>
          <w:p w:rsidR="006355AA" w:rsidRPr="00C417EC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vMerge w:val="restart"/>
          </w:tcPr>
          <w:p w:rsidR="006355AA" w:rsidRPr="00CD3C35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D3C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Демография</w:t>
            </w:r>
          </w:p>
        </w:tc>
        <w:tc>
          <w:tcPr>
            <w:tcW w:w="1102" w:type="pct"/>
            <w:vMerge w:val="restart"/>
          </w:tcPr>
          <w:p w:rsidR="006355AA" w:rsidRPr="008F13CB" w:rsidRDefault="006355AA" w:rsidP="008F13CB">
            <w:pPr>
              <w:pStyle w:val="a3"/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6355AA" w:rsidRDefault="006355AA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увеличение ожидаемой продолжительности здоровой жизни до 67 лет;</w:t>
            </w:r>
          </w:p>
          <w:p w:rsidR="006355AA" w:rsidRDefault="006355AA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увеличение суммарного коэффициента рождаемости до 1,7;</w:t>
            </w:r>
          </w:p>
          <w:p w:rsidR="006355AA" w:rsidRPr="008F13CB" w:rsidRDefault="006355AA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увеличение доли гра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дан, ведущих здоровый образ жизни, а также увеличение до 55 процентов доли граждан, систематически занима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щихся физической культурой и спортом;</w:t>
            </w:r>
          </w:p>
          <w:p w:rsidR="006355AA" w:rsidRPr="008F13CB" w:rsidRDefault="006355AA" w:rsidP="008F13CB">
            <w:pPr>
              <w:pStyle w:val="a3"/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355AA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финансовой поддержки семей при рождении детей;</w:t>
            </w:r>
          </w:p>
          <w:p w:rsidR="006355AA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трудовой де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тельности женщин, имеющих детей, включая достижение 100-процентной доступности (к 2021 году) дошкольного образования для детей в во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расте до трех лет;</w:t>
            </w:r>
          </w:p>
          <w:p w:rsidR="006355AA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программы системной по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держки и повышения качества жизни граждан старшего п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коления;</w:t>
            </w:r>
          </w:p>
          <w:p w:rsidR="006355AA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мотивации граждан к здор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вому образу жизни, включая здоровое питание и отказ от вредных привычек;</w:t>
            </w:r>
          </w:p>
          <w:p w:rsidR="006355AA" w:rsidRPr="008F13CB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горий и групп населения условий для занятий физич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спортом, массовым спортом, в том чи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ле повышение уровня обесп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ченности населения объект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13CB">
              <w:rPr>
                <w:rFonts w:ascii="Times New Roman" w:hAnsi="Times New Roman" w:cs="Times New Roman"/>
                <w:sz w:val="24"/>
                <w:szCs w:val="24"/>
              </w:rPr>
              <w:t>ми спорта, а также подготовка спортивного резерва.</w:t>
            </w:r>
          </w:p>
          <w:p w:rsidR="006355AA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355AA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семей </w:t>
            </w:r>
          </w:p>
          <w:p w:rsidR="006355AA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рождении детей</w:t>
            </w:r>
          </w:p>
          <w:p w:rsidR="006355AA" w:rsidRPr="00C417EC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6355AA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5AA" w:rsidRPr="00C417EC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4" w:type="pct"/>
          </w:tcPr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при рождении (усыновлении) первого ребёнка предоставляется ежемесячная выплата семьям со среднедушевым д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ходом, размер которого не превышает 1,5-кратную величину прожиточного минимума трудоспособного населения, установленного в субъекте Российской Федерации за 2 квартал предыдущего года.) </w:t>
            </w:r>
            <w:proofErr w:type="gramEnd"/>
          </w:p>
          <w:p w:rsidR="006E4BBE" w:rsidRDefault="00574553" w:rsidP="006E4B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выплата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связи с рожд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нием (усыновлением) первого ребё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 году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составила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10057,00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лей (прожиточный минимум для детей в Краснодарском крае за 2 квартал 2018 года. </w:t>
            </w:r>
            <w:proofErr w:type="gramEnd"/>
          </w:p>
          <w:p w:rsidR="00574553" w:rsidRPr="006E4BBE" w:rsidRDefault="00574553" w:rsidP="006E4B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 квартал 2019 года расходы на предоставление ежемесячной выплаты в связи с рождением (усыновлением) пе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вого ребёнка составили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4B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</w:t>
            </w:r>
            <w:r w:rsidR="004B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447,68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на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Назначается пособие на ребенка м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лоимущим семьям со среднедушевым доходом, размер которого не превышает установленную в крае величину прож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точного минимума на душу населения. Размеры пособий: на ребенка –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206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руб.;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ребенка одинокой матери –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402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руб.; на ребенка военнослужащего срочной службы и на детей разыскиваемых р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дителей –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297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1 квартал 2019 года расходы на предоставление пособия составили </w:t>
            </w:r>
            <w:r w:rsidR="004B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B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  <w:r w:rsidR="004B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,00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руб., получили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3781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 на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7201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Органами социальной защиты нас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назначаются и выплачиваются следующие виды государственных п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собий: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единовременное пособие при рожд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ребенка;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ежемесячное пособие по уходу за р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бенком.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1 квартал 2019 года расходы на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новременное пособие при рождении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ребенка составили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1755196 руб.24 коп,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получили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  <w:r w:rsidR="006E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семьи.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(Размер с 2019 г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-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17479 руб. 73 коп)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ежемесячного пособия по уходу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ребенком составили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4B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853</w:t>
            </w:r>
            <w:r w:rsidR="004B5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292 руб. 36 коп.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Принято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862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семьи.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ежемесячного пособия по ух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ребенком – 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3277 руб. 45 коп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первого ребенка), 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6554 руб. 89 коп.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второго и последующих детей).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единовременное пособие при передаче ребенка на воспитание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семью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составили: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семьям на сумму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202550 руб. 36 коп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proofErr w:type="gramEnd"/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(Размеры пособий - 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17479 руб. 73 коп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 усыновлении братьев (сестер), д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старше 7 лет, детей-инвалидов – 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133359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коп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  <w:proofErr w:type="gramEnd"/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Расходы на единовременное пос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бие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беременным женам военносл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жащих, проходящих военную службу по призыву; ежемесячное – на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военнослужащих, проходящих военную службу по призыву, на общую сумму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122180 руб.23 коп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4). Предоставляется социальная выпл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в виде денежной компенсации на полноценное питание беременным женщинам, кормящим матерям и детям в возрасте до трех лет.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Денежная компенсация назначается в размере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150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в месяц. Расходы на предоставление денежной компенсации составили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799050,00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5). Дети первых 6 месяцев жизни, нах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дящиеся на смешанном или искусстве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вскармливании, из семей со среднедушевым доходом, размер кот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 не превышает величину прожито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минимума на душу населения, установленного в крае, дающим право на получение ежемесячного пособия на ребёнка, по заключению врача обесп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чиваются бесплатно специализирова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ными продуктами детского питания.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В 1 квартале 2019 году специал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зированное питание предоставлено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104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(104 получателям).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       В 2019 году в крае установлен материнский (семейный) капитал в ра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мере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124 607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получение материнского (с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мейного) капитала возникает со дня рождения (усыновления) третьего р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 или последующих детей и может быть реализовано не ранее, чем по и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 трех лет со дня рождения (ус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новления) третьего ребенка или посл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дующих детей, рожденных начиная с 1 января 2011 года.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 1 квартал 2019 года уведомление на материнский (семейный) капитал п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лучили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56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семьи. Распорядились сре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ствами материнского (семейного) кап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тала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39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семьи - направили средства на улучшение жилищных условий. 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7). В 2019 году ежемесячная денежная выплата при рождении третьего или п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следующих детей до достижения ребе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возраста трех лет установлена в размере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10050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семьям, имеющим среднедушевой доход ниже величины месячного среднедушевого денежного дохода в крае за год, предшествующий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году обращения за ежемесячной дене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выплатой. За 1 квартал 2019 года расходы на предоставление ежемеся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выплаты при рождении третьего или последующих детей составили </w:t>
            </w:r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17747544 руб. 87 коп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5745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 </w:t>
            </w:r>
            <w:r w:rsidRPr="0057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528 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574553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55AA" w:rsidRPr="00574553" w:rsidRDefault="00574553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 соответствии с Законом Красн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дарского края от 21.12.2018                    № 3950-КЗ «</w:t>
            </w:r>
            <w:r w:rsidRPr="00574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ежемесячной денежной выплате нуждающимся в поддержке семьям при рождении третьего ребе</w:t>
            </w:r>
            <w:r w:rsidRPr="00574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5745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 или последующих детей» </w:t>
            </w:r>
            <w:r w:rsidRPr="00574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составили </w:t>
            </w:r>
            <w:r w:rsidRPr="0057455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489783 руб.84 коп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74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proofErr w:type="gramEnd"/>
            <w:r w:rsidRPr="00574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57455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  <w:r w:rsidRPr="00574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ребенка. Ежемесячный размер пособия составил </w:t>
            </w:r>
            <w:r w:rsidRPr="0057455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10412</w:t>
            </w:r>
            <w:r w:rsidRPr="005745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рублей.</w:t>
            </w:r>
          </w:p>
        </w:tc>
      </w:tr>
      <w:tr w:rsidR="006355AA" w:rsidTr="00B305A3">
        <w:trPr>
          <w:trHeight w:val="585"/>
        </w:trPr>
        <w:tc>
          <w:tcPr>
            <w:tcW w:w="181" w:type="pct"/>
            <w:vMerge w:val="restart"/>
          </w:tcPr>
          <w:p w:rsidR="006355AA" w:rsidRPr="00C417EC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6355AA" w:rsidRPr="00C417EC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6355AA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355AA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6355AA" w:rsidRPr="00C417EC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6355AA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5AA" w:rsidRPr="00C417EC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574553" w:rsidRDefault="00574553" w:rsidP="00574553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1). Признание граждан </w:t>
            </w:r>
            <w:proofErr w:type="gramStart"/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щимися</w:t>
            </w:r>
            <w:proofErr w:type="gramEnd"/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социальном обслуживании и составление индивидуальной програ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предоставления социальных услуг:</w:t>
            </w:r>
          </w:p>
          <w:p w:rsidR="00574553" w:rsidRPr="00574553" w:rsidRDefault="00574553" w:rsidP="00574553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форме надомного социальн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обслуживания, в том числе с пред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ставлением срочных социальных услуг  – 442 человека;</w:t>
            </w:r>
          </w:p>
          <w:p w:rsidR="00574553" w:rsidRPr="00574553" w:rsidRDefault="00574553" w:rsidP="00574553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стационарной форме соц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ального обслуживания для оформления, в том числе для оформления в дома  в дома-интернаты – 10 человек.</w:t>
            </w:r>
          </w:p>
          <w:p w:rsidR="00574553" w:rsidRPr="00574553" w:rsidRDefault="00574553" w:rsidP="00574553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4553" w:rsidRPr="00574553" w:rsidRDefault="00574553" w:rsidP="00574553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2).Предоставлены социальные услуги 1542 гражданам, состоящим на обслуживании, в форме надомного с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циального обслуживания – 193516 усл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ги,  срочных социальных услуг – 1749 услуг. </w:t>
            </w:r>
          </w:p>
          <w:p w:rsidR="00574553" w:rsidRPr="00574553" w:rsidRDefault="00574553" w:rsidP="00574553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видам социальных услуг: с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циально-бытовых – 136707 услуг, соц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ально-медицинских – 26736 услуг, с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циально-психологических – 30072 услуг, социально-правовых – 1 услуга.</w:t>
            </w:r>
            <w:proofErr w:type="gramEnd"/>
          </w:p>
          <w:p w:rsidR="00574553" w:rsidRPr="00574553" w:rsidRDefault="00574553" w:rsidP="0057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4553" w:rsidRPr="00574553" w:rsidRDefault="00574553" w:rsidP="0057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3). Организовано обучение представ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телей старшего поколения компьюте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грамотности. За 1 кв. 2019 года – 10 человек.</w:t>
            </w:r>
          </w:p>
          <w:p w:rsidR="00574553" w:rsidRPr="00574553" w:rsidRDefault="00574553" w:rsidP="0057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4). Организованы меры, направленные на обеспечение социальной адаптации пожилых людей: выдано в прокат те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нических средств реабилитации 11 шт.</w:t>
            </w:r>
          </w:p>
          <w:p w:rsidR="00574553" w:rsidRPr="00574553" w:rsidRDefault="00574553" w:rsidP="00574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5). Организована акция «Вторые руки», в рамках  которой необходимыми в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щами были обеспечены 162 человека</w:t>
            </w:r>
          </w:p>
          <w:p w:rsidR="00574553" w:rsidRPr="00574553" w:rsidRDefault="00574553" w:rsidP="00574553">
            <w:pPr>
              <w:ind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6) Созданы приемные семьи для гра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 пожилого возраста и инвалидов. Имеются действующие договоры с 7 семьями, в которых проживают 8 чел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век.</w:t>
            </w:r>
          </w:p>
          <w:p w:rsidR="00574553" w:rsidRPr="00574553" w:rsidRDefault="00574553" w:rsidP="00574553">
            <w:pPr>
              <w:ind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7) Проведено 11 культурно-массовых мероприятий, с участием старшего п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коления с целью активизации участия в общественной жизни района.</w:t>
            </w:r>
          </w:p>
          <w:p w:rsidR="00574553" w:rsidRPr="00574553" w:rsidRDefault="00574553" w:rsidP="00574553">
            <w:pPr>
              <w:ind w:firstLine="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8). Организованы поздравления жит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 района старшего поколения с праздничными датами.</w:t>
            </w:r>
          </w:p>
          <w:p w:rsidR="00574553" w:rsidRPr="00574553" w:rsidRDefault="00574553" w:rsidP="00574553">
            <w:pPr>
              <w:ind w:firstLine="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745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9). </w:t>
            </w:r>
            <w:r w:rsidRPr="005745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 марта 2019 года</w:t>
            </w:r>
            <w:r w:rsidRPr="005745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745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 территории ГБУ СО КК «Тимашевский КЦСОН» в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межведомственного взаимоде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</w:rPr>
              <w:t>ствия для представителей Старшего п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</w:rPr>
              <w:t>коления проведено информационное мероприятие «</w:t>
            </w:r>
            <w:r w:rsidRPr="005745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Ярмарка социальных услуг»,</w:t>
            </w:r>
            <w:r w:rsidRPr="00574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приглашением представителей ведомств и структур</w:t>
            </w:r>
            <w:r w:rsidRPr="005745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:rsidR="006355AA" w:rsidRDefault="006355AA"/>
        </w:tc>
      </w:tr>
      <w:tr w:rsidR="00574553" w:rsidTr="00B305A3">
        <w:trPr>
          <w:trHeight w:val="705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- создание условий дошкольного образования для детей   в возрасте до 3 лет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74386A" w:rsidRDefault="00574553" w:rsidP="0057455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6A">
              <w:rPr>
                <w:rFonts w:ascii="Times New Roman" w:hAnsi="Times New Roman"/>
                <w:sz w:val="24"/>
                <w:szCs w:val="24"/>
              </w:rPr>
              <w:t>Муниципальная сеть дошкольного о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б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разования представлена 33 образов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а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 xml:space="preserve">тельными организациями. </w:t>
            </w:r>
          </w:p>
          <w:p w:rsidR="00574553" w:rsidRPr="0074386A" w:rsidRDefault="00574553" w:rsidP="0057455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6A">
              <w:rPr>
                <w:rFonts w:ascii="Times New Roman" w:hAnsi="Times New Roman"/>
                <w:sz w:val="24"/>
                <w:szCs w:val="24"/>
              </w:rPr>
              <w:t>По состоянию на 1 апреля 2019 г. ко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н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 xml:space="preserve">тингент воспитанников составляет 5814 детей, из них 1173 ребёнка в возрасте от 1,5 до 3 лет. </w:t>
            </w:r>
          </w:p>
          <w:p w:rsidR="00574553" w:rsidRPr="0074386A" w:rsidRDefault="00574553" w:rsidP="0057455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6A">
              <w:rPr>
                <w:rFonts w:ascii="Times New Roman" w:hAnsi="Times New Roman"/>
                <w:sz w:val="24"/>
                <w:szCs w:val="24"/>
              </w:rPr>
              <w:t>В период с 1 января 2019 г. по 31 марта 2019 г. выдано 47 направлений родит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е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лям (законным представителям) для определения в дошкольные образов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а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тельные организации данной категории детей.</w:t>
            </w:r>
          </w:p>
          <w:p w:rsidR="00574553" w:rsidRPr="0074386A" w:rsidRDefault="00574553" w:rsidP="0057455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6A">
              <w:rPr>
                <w:rFonts w:ascii="Times New Roman" w:hAnsi="Times New Roman"/>
                <w:sz w:val="24"/>
                <w:szCs w:val="24"/>
              </w:rPr>
              <w:t>С целью обеспечения местами в де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т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ском саду детей в возрасте от 0 до 3 лет в муниципальном образовании Тим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а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шевский район функционирует 65 групп:</w:t>
            </w:r>
          </w:p>
          <w:p w:rsidR="00574553" w:rsidRPr="0074386A" w:rsidRDefault="00574553" w:rsidP="0057455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6A">
              <w:rPr>
                <w:rFonts w:ascii="Times New Roman" w:hAnsi="Times New Roman"/>
                <w:sz w:val="24"/>
                <w:szCs w:val="24"/>
              </w:rPr>
              <w:t>16 групп для детей в возрасте от 1,5 до 2 лет;</w:t>
            </w:r>
          </w:p>
          <w:p w:rsidR="00574553" w:rsidRPr="0074386A" w:rsidRDefault="00574553" w:rsidP="0057455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6A">
              <w:rPr>
                <w:rFonts w:ascii="Times New Roman" w:hAnsi="Times New Roman"/>
                <w:sz w:val="24"/>
                <w:szCs w:val="24"/>
              </w:rPr>
              <w:t>49 групп для детей в возрасте от 2 до 3 лет.</w:t>
            </w:r>
          </w:p>
          <w:p w:rsidR="00574553" w:rsidRPr="0074386A" w:rsidRDefault="00574553" w:rsidP="0057455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86A">
              <w:rPr>
                <w:rFonts w:ascii="Times New Roman" w:hAnsi="Times New Roman"/>
                <w:sz w:val="24"/>
                <w:szCs w:val="24"/>
              </w:rPr>
              <w:t xml:space="preserve">Расширяется сеть вариативных форм </w:t>
            </w:r>
            <w:r w:rsidRPr="0074386A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образования. Для этой к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а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тегории детей открыты дополнительно 3 группы кратковременного пребыв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а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ния, группа семейного воспитания.</w:t>
            </w:r>
          </w:p>
          <w:p w:rsidR="00574553" w:rsidRPr="0074386A" w:rsidRDefault="00574553" w:rsidP="0057455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386A">
              <w:rPr>
                <w:rFonts w:ascii="Times New Roman" w:hAnsi="Times New Roman"/>
                <w:sz w:val="24"/>
                <w:szCs w:val="24"/>
              </w:rPr>
              <w:t>В период с 1 января 2019 г. по 31 марта 2019 г. разработана ПСД для ввода 21 дополнительного места в МБДОУ д/с № 19 для детей в возрасте от                1,5 до 3 лет на сумму 920 тыс. рублей для участия в отборе муниципальных обр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а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зований Краснодарского края на пред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о</w:t>
            </w:r>
            <w:r w:rsidRPr="0074386A">
              <w:rPr>
                <w:rFonts w:ascii="Times New Roman" w:hAnsi="Times New Roman"/>
                <w:sz w:val="24"/>
                <w:szCs w:val="24"/>
              </w:rPr>
              <w:t>ставление субсидий на капитальный ремонт зданий.</w:t>
            </w:r>
            <w:proofErr w:type="gramEnd"/>
          </w:p>
          <w:p w:rsidR="00574553" w:rsidRDefault="00574553" w:rsidP="00574553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574553" w:rsidRDefault="00574553" w:rsidP="00574553">
            <w:pPr>
              <w:spacing w:line="240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574553" w:rsidRPr="0074386A" w:rsidRDefault="00574553" w:rsidP="00574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53" w:rsidTr="00B305A3">
        <w:trPr>
          <w:trHeight w:val="1164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AF01F7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F7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  <w:tc>
          <w:tcPr>
            <w:tcW w:w="661" w:type="pct"/>
          </w:tcPr>
          <w:p w:rsidR="00574553" w:rsidRDefault="00574553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1060F3" w:rsidRPr="001060F3" w:rsidRDefault="001060F3" w:rsidP="00106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0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Проведена следующая работа:                        - каждую субботу в поселениях района проводятся тематические «Дни здор</w:t>
            </w:r>
            <w:r w:rsidRPr="001060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060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вья» (в 1 квартале 2019 года проведено 11 «Дней здоровья»).</w:t>
            </w:r>
          </w:p>
          <w:p w:rsidR="001060F3" w:rsidRPr="001060F3" w:rsidRDefault="001060F3" w:rsidP="00106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60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организована работа 14 «Школ здор</w:t>
            </w:r>
            <w:r w:rsidRPr="001060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060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вья», направленных на профилактику заболеваний и формированию здоров</w:t>
            </w:r>
            <w:r w:rsidRPr="001060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060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образа жизни у населения;</w:t>
            </w:r>
          </w:p>
          <w:p w:rsidR="00574553" w:rsidRPr="00EE7A98" w:rsidRDefault="001060F3" w:rsidP="001060F3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проведены встречи с молодежью и учащимися старших классов школ ра</w:t>
            </w: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она по темам профилактики нарком</w:t>
            </w: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нии, алкоголизма, </w:t>
            </w:r>
            <w:proofErr w:type="spellStart"/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пр</w:t>
            </w: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паганде здорового образа жизни и пр</w:t>
            </w: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06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вильного питания</w:t>
            </w:r>
          </w:p>
        </w:tc>
      </w:tr>
      <w:tr w:rsidR="00574553" w:rsidTr="00B305A3">
        <w:trPr>
          <w:trHeight w:val="1122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AF01F7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F7">
              <w:rPr>
                <w:rFonts w:ascii="Times New Roman" w:hAnsi="Times New Roman" w:cs="Times New Roman"/>
                <w:sz w:val="24"/>
                <w:szCs w:val="24"/>
              </w:rPr>
              <w:t>Спорт-норма жизни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811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квартале 2019 г. проведен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 развития физической культуры и спорта, в части закупки спортивно-технологического оборудования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малых спортивных площадок в рамках реализации регионального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Краснодарского края «Спорт – норма жизни». По результатам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553" w:rsidRDefault="00574553" w:rsidP="008116B7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 внесены изменения в муниципальную программу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 «Развитие физической культуры и спорта на 2018-2020 годы» в части мероприятия: предоставление субсидий местным бюджетам на софинансиров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расходных обязательств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Тимашевский район. Предварительная сумма соф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из бюджета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Тимашевский район составила 200,5 тыс.руб, из краевого бюджета 3140,0 тыс.руб.</w:t>
            </w:r>
          </w:p>
          <w:p w:rsidR="00F8541F" w:rsidRPr="00F8541F" w:rsidRDefault="00F8541F" w:rsidP="00F8541F">
            <w:pPr>
              <w:suppressAutoHyphens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  <w:proofErr w:type="gram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Тимашевском</w:t>
            </w:r>
            <w:proofErr w:type="gram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районе проводится прием нормативов Всероссийского </w:t>
            </w:r>
            <w:proofErr w:type="spell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спортивного комплекса «Готов к труду и обороне» (ГТО) у выпускников общеобразовательных учреждений Тимашевского района, которым необходимы знаки отличия для получения дополнительных баллов при </w:t>
            </w: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поступлении в учебные заведения. Данное мероприятие осуществляется силами отдела по физической культуре и спорту администрации муниципального образования Тимашевский район и управления образования администрации муниципального образования Тимашевский район.  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Также все желающие выполнить нормативы комплекса ГТО могут </w:t>
            </w:r>
            <w:proofErr w:type="gram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обратится</w:t>
            </w:r>
            <w:proofErr w:type="gram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центр по приему нормативов и видов испытаний Всероссийского </w:t>
            </w:r>
            <w:proofErr w:type="spell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спортивного комплекса «Готов к труду и обороне» (ГТО). 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Данный Центр создан на базе МБУ УСК «Олимп». Обязанности руководителя центра возложены на инструктора МБУ УСК «Олимп» Бутенко А.А., обязанности главного судьи и системного администратора возложены на главного специалиста отдела по физической культуре и спорту администрации муниципального образования Тимашевский район </w:t>
            </w:r>
            <w:proofErr w:type="spell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Баранника</w:t>
            </w:r>
            <w:proofErr w:type="spell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Д.Н. 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Активизирована работа инструкторами поселений муниципального образования Тимашевский район по регистрации граждан на сайте ГТО. На предприятия, </w:t>
            </w: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располагающиеся на территории Тимашевского района, направлены информационные письма с пошаговой инструкцией по регистрации на сайте. Те граждане, которые </w:t>
            </w:r>
            <w:proofErr w:type="gram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испытывают проблемы</w:t>
            </w:r>
            <w:proofErr w:type="gram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самостоятельной регистрацией, могут пройти ее непосредственно в центре тестирования при помощи специалиста. На данный момент число зарегистрированных составляет 14,6 % от общей численности жителей района.     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бюджета муниципального образования Тимашевский район выделены денежные средства для введения в штат центра тестирования 2 ставок – директора центра и главного судьи. В настоящее время идет подбор кандидатов для замещения данных должностей. Так же выделены денежные средства в размере 357 тыс. руб. для приобретения оборудования для Центра тестирования. Оборудованием ЦТ будет полностью укомплектован в июле     2019 года.</w:t>
            </w:r>
          </w:p>
          <w:p w:rsidR="00F8541F" w:rsidRPr="00F8541F" w:rsidRDefault="00F8541F" w:rsidP="00F8541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Активизирована работа с предприятиями, учреждениями, организациями по привлечению населения к выполнению нормативов ГТО. Проведены мероприятия по приему нормативов ГТО среди учащихся 9-11 классов </w:t>
            </w: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общеобразовательных организаций района и кадетами Тимашевского казачьего корпуса. 20 июня 2019 года будет проведено мероприятие по приему нормативов ГТО у сотрудников </w:t>
            </w:r>
            <w:proofErr w:type="spell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Росгвардии</w:t>
            </w:r>
            <w:proofErr w:type="spell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Запланировано проведение летнего фестиваля ГТО. 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населения от 6 лет в районе – 101 003 человек;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зарегистрированных</w:t>
            </w:r>
            <w:proofErr w:type="gram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сайте ГТО – 14 752 (14,61 %);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принявших участие в выполнении нормативов ГТО от общего количества населения – 3192 (3,16 %);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принявших участие в выполнении нормативов ГТО от общего количества зарегистрированных на сайте ГТО – 3192 (21,64 %);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выполнивших</w:t>
            </w:r>
            <w:proofErr w:type="gramEnd"/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нормативы ГТО на знаки отличия от общего количества населения – 1020 (1,00 %);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выполнивших нормативы ГТО на знаки отличия от общего принявших участие в выполнении нормативов ГТО - 1020 (31,95 %);</w:t>
            </w:r>
          </w:p>
          <w:p w:rsidR="00F8541F" w:rsidRPr="00F8541F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Отношение количества ставок на количество населения в районе – 1 ставка на 50 501 человек (по регламенту 1 ставка на 26 000 человек, т.е. необходимо вводить в штат </w:t>
            </w: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дополнительно не менее еще 2 ставок).</w:t>
            </w:r>
          </w:p>
          <w:p w:rsidR="00F8541F" w:rsidRPr="00F8541F" w:rsidRDefault="00F8541F" w:rsidP="00C06BCF">
            <w:pPr>
              <w:suppressAutoHyphens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организации, принявшие участие в выполнении нормативов ГТО:</w:t>
            </w:r>
          </w:p>
          <w:p w:rsidR="00C06BCF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МО Тимашевский район.</w:t>
            </w:r>
          </w:p>
          <w:p w:rsidR="00C06BCF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Тимашевский казачий корпус.</w:t>
            </w:r>
          </w:p>
          <w:p w:rsidR="00C06BCF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 по Тимашевскому району – филиала ФГКУ «УВО ВНГ России по Краснодарскому краю (</w:t>
            </w:r>
            <w:proofErr w:type="spellStart"/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Росгвардия</w:t>
            </w:r>
            <w:proofErr w:type="spellEnd"/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C06BCF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 по Тимашевскому и Брюховецкому району (Судебные приставы).</w:t>
            </w:r>
          </w:p>
          <w:p w:rsidR="00F8541F" w:rsidRPr="00C06BCF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9-11 классов общеобразовательных организаций Тимашевского района.</w:t>
            </w:r>
          </w:p>
          <w:p w:rsidR="00F8541F" w:rsidRPr="00EE7A98" w:rsidRDefault="00F8541F" w:rsidP="00C06B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53" w:rsidTr="00B305A3">
        <w:trPr>
          <w:trHeight w:val="1126"/>
        </w:trPr>
        <w:tc>
          <w:tcPr>
            <w:tcW w:w="181" w:type="pct"/>
            <w:vMerge w:val="restar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4" w:type="pct"/>
            <w:vMerge w:val="restart"/>
          </w:tcPr>
          <w:p w:rsidR="00574553" w:rsidRPr="00CD3C3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D3C3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Здравоохранение</w:t>
            </w:r>
          </w:p>
        </w:tc>
        <w:tc>
          <w:tcPr>
            <w:tcW w:w="1102" w:type="pct"/>
            <w:vMerge w:val="restart"/>
          </w:tcPr>
          <w:p w:rsidR="00574553" w:rsidRPr="0029597A" w:rsidRDefault="00574553" w:rsidP="0029597A">
            <w:pPr>
              <w:pStyle w:val="a3"/>
              <w:ind w:firstLin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574553" w:rsidRDefault="00574553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смертности населения труд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способного возраста (до 350 случаев на 100 тыс. насел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ния), смертности от болезней системы кровообращения (до 450 случаев на 100 тыс. нас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ления), смертности от нов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образований, в том числе от злокачественных (до 185 сл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чаев на 100 тыс. населения), младенческой смертности (до 4,5 случая на 1 тыс. роди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шихся детей);</w:t>
            </w:r>
          </w:p>
          <w:p w:rsidR="00574553" w:rsidRDefault="00574553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кадрового дефицита в медицинских 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ганизациях, оказывающих первичную медико-санитарную помощь;</w:t>
            </w:r>
          </w:p>
          <w:p w:rsidR="00574553" w:rsidRDefault="00574553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обеспечение охвата всех граждан профилактическими медицинскими осмотрами не реже одного раза в год;</w:t>
            </w:r>
          </w:p>
          <w:p w:rsidR="00574553" w:rsidRDefault="00574553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обеспечение оптимал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ной доступности для насел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ния (в том числе для жителей населенных пунктов, расп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ложенных в отдаленных местностях) медицинских 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ганизаций, оказывающих пе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вичную медико-санитарную помощь;</w:t>
            </w:r>
          </w:p>
          <w:p w:rsidR="00574553" w:rsidRDefault="00574553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оптимизация работы м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дицинских организаций, ок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зывающих первичную мед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ко-санитарную помощь, с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кращение времени ожидания в очереди при обращении граждан в указанные мед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цинские организации, упр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щение процедуры записи на прием к врачу;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увеличение объема эк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 xml:space="preserve">порта медицинских услуг не менее чем в четыре раза по 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сравнению с 2017 годом (до 1 млрд. долларов США в год);</w:t>
            </w:r>
          </w:p>
          <w:p w:rsidR="00574553" w:rsidRPr="0029597A" w:rsidRDefault="00574553" w:rsidP="002959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ния сети медицинских орг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низаций первичного звена здравоохранения с использ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ванием в сфере здравоохран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ния геоинформационной с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стемы с учетом необходим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сти строительства врачебных амбулаторий, фельдшерских и фельдшерско-акушерских пунктов в населенных пун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тах с численностью населения от 100 человек до 2 тыс. чел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век, а также с учетом испол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зования мобильных медици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ских комплексов в населе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ных пунктах с численностью населения менее 100 человек;</w:t>
            </w:r>
            <w:proofErr w:type="gramEnd"/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ния сети национальных мед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цинских исследовательских центров;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взаимодействия медицинских организаций на основе единой государственной информац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онной системы в сфере здр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воохранения;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внедрение инновацио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медицинских технологий, включая систему ранней ди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гностики и дистанционный мониторинг состояния здор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вья пациентов;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обеспечение медици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ских организаций системы здравоохранения квалифиц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рованными кадрами, включая внедрение системы непр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рывного образования мед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цинских работников, в том числе с использованием д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станционных образовател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ных технологий;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hyperlink r:id="rId9" w:history="1">
              <w:r w:rsidRPr="0029597A">
                <w:rPr>
                  <w:rFonts w:ascii="Times New Roman" w:hAnsi="Times New Roman" w:cs="Times New Roman"/>
                  <w:sz w:val="24"/>
                  <w:szCs w:val="24"/>
                </w:rPr>
                <w:t>клинических рекомендаций</w:t>
              </w:r>
            </w:hyperlink>
            <w:r w:rsidRPr="0029597A">
              <w:rPr>
                <w:rFonts w:ascii="Times New Roman" w:hAnsi="Times New Roman" w:cs="Times New Roman"/>
                <w:sz w:val="24"/>
                <w:szCs w:val="24"/>
              </w:rPr>
              <w:t xml:space="preserve"> и протоколов лечения и их использование в целях формирования тарифов на оплату медицинской п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мощи;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борьбы с онколог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 xml:space="preserve">ческими заболеваниями, </w:t>
            </w:r>
            <w:proofErr w:type="gramStart"/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дечно-сосудистыми</w:t>
            </w:r>
            <w:proofErr w:type="gramEnd"/>
            <w:r w:rsidRPr="0029597A">
              <w:rPr>
                <w:rFonts w:ascii="Times New Roman" w:hAnsi="Times New Roman" w:cs="Times New Roman"/>
                <w:sz w:val="24"/>
                <w:szCs w:val="24"/>
              </w:rPr>
              <w:t xml:space="preserve"> заболев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ниями, развития детского здравоохранения, включая создание современной инфр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структуры оказания медици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ской помощи детям;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защиты прав пациентов;</w:t>
            </w:r>
          </w:p>
          <w:p w:rsidR="00574553" w:rsidRPr="0029597A" w:rsidRDefault="00574553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ханизма экспорта медици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97A">
              <w:rPr>
                <w:rFonts w:ascii="Times New Roman" w:hAnsi="Times New Roman" w:cs="Times New Roman"/>
                <w:sz w:val="24"/>
                <w:szCs w:val="24"/>
              </w:rPr>
              <w:t>ских услуг.</w:t>
            </w: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медико-санитарная помощь</w:t>
            </w:r>
          </w:p>
        </w:tc>
        <w:tc>
          <w:tcPr>
            <w:tcW w:w="661" w:type="pct"/>
          </w:tcPr>
          <w:p w:rsidR="00574553" w:rsidRDefault="00574553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4A66E9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6E9">
              <w:rPr>
                <w:rFonts w:ascii="Times New Roman" w:hAnsi="Times New Roman"/>
                <w:sz w:val="24"/>
                <w:szCs w:val="24"/>
              </w:rPr>
              <w:t>Всего пролечено пациентов в амбул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а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торно-поликлинической службе – 37260 чел.</w:t>
            </w:r>
          </w:p>
          <w:p w:rsidR="00574553" w:rsidRPr="004A66E9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6E9">
              <w:rPr>
                <w:rFonts w:ascii="Times New Roman" w:hAnsi="Times New Roman"/>
                <w:sz w:val="24"/>
                <w:szCs w:val="24"/>
              </w:rPr>
              <w:t>Диспансеризация – 4566 чел.</w:t>
            </w:r>
          </w:p>
          <w:p w:rsidR="00574553" w:rsidRPr="004A66E9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6E9">
              <w:rPr>
                <w:rFonts w:ascii="Times New Roman" w:hAnsi="Times New Roman"/>
                <w:sz w:val="24"/>
                <w:szCs w:val="24"/>
              </w:rPr>
              <w:t>Профилактические осмотры – 2124 чел.</w:t>
            </w:r>
          </w:p>
          <w:p w:rsidR="00574553" w:rsidRPr="004A66E9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6E9">
              <w:rPr>
                <w:rFonts w:ascii="Times New Roman" w:hAnsi="Times New Roman"/>
                <w:sz w:val="24"/>
                <w:szCs w:val="24"/>
              </w:rPr>
              <w:t>Обслужено вызовов СМП – 10074.</w:t>
            </w:r>
          </w:p>
          <w:p w:rsidR="00574553" w:rsidRPr="004A66E9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53" w:rsidTr="00B305A3">
        <w:trPr>
          <w:trHeight w:val="1753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сердечно - сосудистыми заболеваниями</w:t>
            </w:r>
          </w:p>
        </w:tc>
        <w:tc>
          <w:tcPr>
            <w:tcW w:w="661" w:type="pct"/>
          </w:tcPr>
          <w:p w:rsidR="00574553" w:rsidRDefault="00574553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4A66E9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6E9">
              <w:rPr>
                <w:rFonts w:ascii="Times New Roman" w:hAnsi="Times New Roman"/>
                <w:sz w:val="24"/>
                <w:szCs w:val="24"/>
              </w:rPr>
              <w:t>Пролечено больных с ССЗ - 1382 чел., из них в ПСО – 295 чел.</w:t>
            </w:r>
          </w:p>
          <w:p w:rsidR="00574553" w:rsidRPr="004A66E9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6E9">
              <w:rPr>
                <w:rFonts w:ascii="Times New Roman" w:hAnsi="Times New Roman"/>
                <w:sz w:val="24"/>
                <w:szCs w:val="24"/>
              </w:rPr>
              <w:t>Умерло 198, показатель на 100тыс. населения – 717,1. Проводится работа по улучшению качества оказания медици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н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ской помощи больным с ССЗ и снижение смертности от данной патологии. В ра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й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 xml:space="preserve">онной поликлинике проводятся школы </w:t>
            </w:r>
            <w:r w:rsidRPr="004A66E9">
              <w:rPr>
                <w:rFonts w:ascii="Times New Roman" w:hAnsi="Times New Roman"/>
                <w:sz w:val="24"/>
                <w:szCs w:val="24"/>
              </w:rPr>
              <w:lastRenderedPageBreak/>
              <w:t>здоровья (52), дни здоровья (10). Выя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в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лено патологии с ССЗ- 213. Все пацие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н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ты взяты на диспансерный учет для пр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о</w:t>
            </w:r>
            <w:r w:rsidRPr="004A66E9">
              <w:rPr>
                <w:rFonts w:ascii="Times New Roman" w:hAnsi="Times New Roman"/>
                <w:sz w:val="24"/>
                <w:szCs w:val="24"/>
              </w:rPr>
              <w:t>ведения профилактической работы.</w:t>
            </w:r>
          </w:p>
        </w:tc>
      </w:tr>
      <w:tr w:rsidR="00574553" w:rsidTr="00B305A3">
        <w:trPr>
          <w:trHeight w:val="1390"/>
        </w:trPr>
        <w:tc>
          <w:tcPr>
            <w:tcW w:w="181" w:type="pct"/>
            <w:vMerge w:val="restart"/>
          </w:tcPr>
          <w:p w:rsidR="00574553" w:rsidRPr="002A3E6E" w:rsidRDefault="00574553" w:rsidP="003426A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574553" w:rsidRPr="002A3E6E" w:rsidRDefault="00574553" w:rsidP="003426A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онкологическими заболеваниями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E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C06BCF" w:rsidRPr="00EF38FA" w:rsidRDefault="00C06BCF" w:rsidP="00C06BC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настороженность мед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цинского персонала. В результате: ч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ло пациентов со злокачественными н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вообразованиями, выявленными впе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– 83, в том числе, 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 xml:space="preserve">выявленных впервые на ранних стадиях (I-II стадии) – 46. </w:t>
            </w:r>
          </w:p>
          <w:p w:rsidR="00574553" w:rsidRPr="00EF38FA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FA">
              <w:rPr>
                <w:rFonts w:ascii="Times New Roman" w:hAnsi="Times New Roman"/>
                <w:sz w:val="24"/>
                <w:szCs w:val="24"/>
              </w:rPr>
              <w:t>Число пациентов со злокачественными новообразованиями, выявленными впе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р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вые – 83.</w:t>
            </w:r>
          </w:p>
          <w:p w:rsidR="00574553" w:rsidRPr="00EF38FA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FA">
              <w:rPr>
                <w:rFonts w:ascii="Times New Roman" w:hAnsi="Times New Roman"/>
                <w:sz w:val="24"/>
                <w:szCs w:val="24"/>
              </w:rPr>
              <w:t>Число злокачественных новообразов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 xml:space="preserve">ний, выявленных впервые на ранних стадиях (I-II стадии) – 46. </w:t>
            </w:r>
          </w:p>
          <w:p w:rsidR="00574553" w:rsidRPr="00EF38FA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8FA">
              <w:rPr>
                <w:rFonts w:ascii="Times New Roman" w:hAnsi="Times New Roman"/>
                <w:sz w:val="24"/>
                <w:szCs w:val="24"/>
              </w:rPr>
              <w:t>Число пациентов со злокачественными новообразованиями, выявленных акти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в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но – 18 (в том числе:</w:t>
            </w:r>
            <w:proofErr w:type="gramEnd"/>
            <w:r w:rsidRPr="00EF38FA">
              <w:rPr>
                <w:rFonts w:ascii="Times New Roman" w:hAnsi="Times New Roman"/>
                <w:sz w:val="24"/>
                <w:szCs w:val="24"/>
              </w:rPr>
              <w:t xml:space="preserve"> ЗНО трахеи, бро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хов и легких – 3, ЗНО молочной железы – 2, ЗНО предстательной железы – 1).</w:t>
            </w:r>
          </w:p>
          <w:p w:rsidR="00574553" w:rsidRDefault="00574553" w:rsidP="00CD3C35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FA">
              <w:rPr>
                <w:rFonts w:ascii="Times New Roman" w:hAnsi="Times New Roman"/>
                <w:sz w:val="24"/>
                <w:szCs w:val="24"/>
              </w:rPr>
              <w:t>Число умерших пациентов от злокач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 xml:space="preserve">ственных новообразований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F38FA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  <w:p w:rsidR="00574553" w:rsidRPr="007E5A6A" w:rsidRDefault="00574553" w:rsidP="00C06BCF">
            <w:pPr>
              <w:pStyle w:val="1"/>
              <w:ind w:left="-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53" w:rsidTr="00B305A3">
        <w:trPr>
          <w:trHeight w:val="495"/>
        </w:trPr>
        <w:tc>
          <w:tcPr>
            <w:tcW w:w="181" w:type="pct"/>
            <w:vMerge/>
          </w:tcPr>
          <w:p w:rsidR="00574553" w:rsidRPr="00B22961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34" w:type="pct"/>
            <w:vMerge/>
          </w:tcPr>
          <w:p w:rsidR="00574553" w:rsidRPr="00B22961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здравоохранение Краснодарского края</w:t>
            </w:r>
          </w:p>
        </w:tc>
        <w:tc>
          <w:tcPr>
            <w:tcW w:w="661" w:type="pct"/>
          </w:tcPr>
          <w:p w:rsidR="00574553" w:rsidRDefault="00574553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574553" w:rsidRDefault="00574553" w:rsidP="0057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Тимашевском</w:t>
            </w:r>
            <w:proofErr w:type="gramEnd"/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районе 23106 детей из них 11399 женского пола, 11707 му</w:t>
            </w: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ского пола. </w:t>
            </w:r>
          </w:p>
          <w:p w:rsidR="00574553" w:rsidRPr="00574553" w:rsidRDefault="00574553" w:rsidP="0057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за 4 месяца родилось- 294 </w:t>
            </w: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ребенка. </w:t>
            </w:r>
          </w:p>
          <w:p w:rsidR="00574553" w:rsidRPr="00574553" w:rsidRDefault="00574553" w:rsidP="0057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умерло 2 ребенка. </w:t>
            </w:r>
          </w:p>
          <w:p w:rsidR="00574553" w:rsidRPr="00574553" w:rsidRDefault="00C06BCF" w:rsidP="0057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ребенок до года (Врожденный п</w:t>
            </w:r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рок развития не совместимый с жи</w:t>
            </w:r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нью), один несчастный случай </w:t>
            </w:r>
            <w:proofErr w:type="gramStart"/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аспир</w:t>
            </w:r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74553"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 содержимым желудка).</w:t>
            </w:r>
          </w:p>
          <w:p w:rsidR="00574553" w:rsidRPr="00574553" w:rsidRDefault="00574553" w:rsidP="0057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1 квартал 2019 года проведено 6137 профилактических медосмотра, из них 56 детям сиротам стационарных учр</w:t>
            </w: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ждений и 297 детям, находящимся  под опекой </w:t>
            </w:r>
          </w:p>
          <w:p w:rsidR="00574553" w:rsidRPr="00574553" w:rsidRDefault="00574553" w:rsidP="0057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В соответствии с программой новой модели поликлиник в детской поликл</w:t>
            </w: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нике действует открытая регистратура, ведется запись к специалистам через систему интернет и </w:t>
            </w:r>
            <w:proofErr w:type="spellStart"/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инфомат</w:t>
            </w:r>
            <w:proofErr w:type="spellEnd"/>
            <w:r w:rsidRPr="005745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 Запись детей до года к узким специалистам осуществляется педиатрами на приеме.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53" w:rsidTr="00B305A3">
        <w:trPr>
          <w:trHeight w:val="495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кадры Краснодарского края</w:t>
            </w:r>
          </w:p>
        </w:tc>
        <w:tc>
          <w:tcPr>
            <w:tcW w:w="661" w:type="pct"/>
          </w:tcPr>
          <w:p w:rsidR="00574553" w:rsidRDefault="00574553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 ГБУЗ «Тимашевская ЦРБ» МЗ КК на 31.03.2019  работает 1106 человек, из них врачей – 193 человека, из них им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ют высшую квалификационную катег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рию – 33 человека, первую категорию – 47 человек, вторую категорию – 9 чел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Среднего медицинского персонала – 405 человек, из них имеют высшую квалификационную категорию – 94 ч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ловека, первую категорию – 74 челов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ка, вторую категорию – 10 человек.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100% врачей и 100% среднего мед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цинского персонала имеют действу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щие сертификаты специалиста. 46,1% врачей и 43,9% медицинских работн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ков со средним образованием имеют квалификационную категорию. В бол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нице работает 6 специалистов, име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щих звание «Заслуженный работник здравоохранения Кубани».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Общая укомплектованность штата вр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чей физическими лицами составляет 56,1%, среднего медицинского персон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ла – 51,3%. Обеспеченность населения врачами составила 17,75 на 10 тыс. населения. Обеспеченность населения средним медицинским персоналом с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ставила 43,92 на 10 тыс. населения. 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Коэффициент совместительства соста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ляет 70%, это свидетельствует о допо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нительной большой нагрузке, приход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щейся на специалистов. 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Укомплектованию учреждений враче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ными кадрами способствует целевой прием студентов за счет средств фед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рального бюджета в Кубанский гос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венный медицинский университет. Ежегодно не менее 15 человек из числа выпускников средних учебных завед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ний района желают обучаться в Куба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ском государственном медицинском университете, однако в среднем в год по целе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вому приему (квотам) посту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пают всего 2-3 человека. В рамках краевой 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«Врачебные кадры для сельского здравоохранения» в Куба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ском государственном медицинском университете из Тимашевского района в настоящее время обучаются 4 студента, из них: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- на лечебном факультете – 1 чел.; 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педиатрическом</w:t>
            </w:r>
            <w:proofErr w:type="gram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 – 3 чел.;  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медико-профилактическом</w:t>
            </w:r>
            <w:proofErr w:type="gram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 – 1 чел.;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 рамках целевого приема за счет средств федерального бюджета в К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банском государственном медицинском университете обучаются 22 студента, из них: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- на лечебном факультете – 17 чел.; 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педиатрическом</w:t>
            </w:r>
            <w:proofErr w:type="gram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 – 4 чел.;  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фармацевтическом</w:t>
            </w:r>
            <w:proofErr w:type="gram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 – 1 чел.;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Так же посещаются ярмарки вакансий рабочих ме</w:t>
            </w:r>
            <w:proofErr w:type="gram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ст в Кр</w:t>
            </w:r>
            <w:proofErr w:type="gram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аснодарском краевом базовом медицинском колледже, 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ском медицинском колледже и Куба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ском государственном медицинском университете. Список вакансий всех должностей врачебного и среднего пе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сонала размешен на сайт электронного работодателя в Тимашевский центр з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нятости населения, на официальном сайте ГБУЗ «Тимашевская ЦРБ» МЗ КК, на сайте министерства здравоохр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нения Краснодарского края, Кубанского государственного медицинского ун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верситета.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Врачам и среднему медицинскому пе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соналу </w:t>
            </w:r>
            <w:proofErr w:type="gram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оказываются меры</w:t>
            </w:r>
            <w:proofErr w:type="gram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поддержи по оплате жилья, отопления и освещения. 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Также для детей, работников больницы, либо работников, привлеченных для п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вышения кадрового потенциала Тим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шевского района, места в детских садах предоставляются по желанию и в наиболее удобных населенных пунктах.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 целях социальной защищенности м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дицинских работников совершенств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ются формы оплаты труда с учетом к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чества выполняемой работы и нагрузки. Действует новая система оплаты труда. Все сотрудники переведены на эффе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тивный контракт.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Ежегодно ГБУЗ «Тимашевская ЦРБ» МЗ КК проводит на своей базе циклы повышения квалификации для среднего медицинского персонала, а так же направляет на циклы повышения кв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лификации и профессиональной пер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подготовки врачебный и средний мед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цинский персонал:</w:t>
            </w:r>
          </w:p>
          <w:p w:rsidR="00574553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- в 2019 году – 75 человек, из них 19 врачей прошли повышение квалифик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ции, 56 человек среднего медицинского персонала прошли повышение квал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C06BCF" w:rsidRPr="00C06BCF" w:rsidRDefault="00C06BCF" w:rsidP="00C06BCF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настоящее время дефицит медици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ских кадров оста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ется актуальной пр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блемой. Острый  дефицит  кадров испы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тывают, в основном, амбулаторно-поли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клинические  учреждения.  В  них  не хватает врачей-педиатров участковых, врачей-терапевтов участковых, врачей общей практики (семейных врачей). </w:t>
            </w:r>
            <w:proofErr w:type="gramStart"/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ED0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хватает специалистов по таким спе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циаль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ностям, как «кардиология», «кли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ническая лабораторная диагностика», «неонтология», «педиатрия», «скорая ме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дицинская помощь», «терапия», «ультра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звуковая диагностика», «онк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логия».</w:t>
            </w:r>
            <w:proofErr w:type="gramEnd"/>
          </w:p>
          <w:p w:rsidR="00C06BCF" w:rsidRPr="00C06BCF" w:rsidRDefault="00C06BCF" w:rsidP="00C06BC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Необходимость в 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укомплектова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нии  средними 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скими 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никами особенно актуальна по 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специальностям: медицинские сестры, фельдшера, лаб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ранты. </w:t>
            </w:r>
          </w:p>
          <w:p w:rsidR="00C06BCF" w:rsidRPr="00EE7A98" w:rsidRDefault="00C06BCF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53" w:rsidTr="00B305A3">
        <w:trPr>
          <w:trHeight w:val="495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контур здравоохранения</w:t>
            </w:r>
          </w:p>
        </w:tc>
        <w:tc>
          <w:tcPr>
            <w:tcW w:w="661" w:type="pct"/>
          </w:tcPr>
          <w:p w:rsidR="00574553" w:rsidRDefault="00574553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 первом квартале 2019 года админ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страция ГБУЗ «Тимашевская ЦРБ» МЗ КК продолжила работы по информат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зации. Защищен паспорт проекта «ед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ный цифровой контур», включающий план мероприятий на 2019- 2024 года по информатизации. Расширены локал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ные вычислительные сети в участковых больницах, </w:t>
            </w:r>
            <w:proofErr w:type="gram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 широкополосный </w:t>
            </w:r>
            <w:proofErr w:type="spell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proofErr w:type="spell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 связи по оптоволоко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ной технологии в участковой больнице ст.Медведовской и врачебной амбул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тории х. </w:t>
            </w:r>
            <w:proofErr w:type="spellStart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Новоленинский</w:t>
            </w:r>
            <w:proofErr w:type="spellEnd"/>
            <w:r w:rsidRPr="00EE7A98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Установлено и 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подключено к информационным серв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сам около 16 рабочих мест  медици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ских работников.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Продолжая участие в пилотном проекте фонда социального страхования по в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писке электронных листков нетруд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способности, ЭЛН выписываются более 50% от общего числа выданных на б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мажном носителе и в электронном виде.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Реализовано взаимодействие с сервис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ми из медицинской информационной системы: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- «Социальная лаборатория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- «Портал врача»</w:t>
            </w:r>
          </w:p>
          <w:p w:rsidR="00574553" w:rsidRPr="00EE7A98" w:rsidRDefault="00574553" w:rsidP="00EE7A9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- «Интегрированная Электронная М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дицинская Карта», подписанные квал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фицированной электронной подписью врача и организации документы отпра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7A98">
              <w:rPr>
                <w:rFonts w:ascii="Times New Roman" w:hAnsi="Times New Roman" w:cs="Times New Roman"/>
                <w:sz w:val="24"/>
                <w:szCs w:val="24"/>
              </w:rPr>
              <w:t>ляются в региональный электронный медицинский документооборот.</w:t>
            </w:r>
          </w:p>
        </w:tc>
      </w:tr>
      <w:tr w:rsidR="00574553" w:rsidTr="00B305A3">
        <w:trPr>
          <w:trHeight w:val="495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AF01F7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F7">
              <w:rPr>
                <w:rFonts w:ascii="Times New Roman" w:hAnsi="Times New Roman" w:cs="Times New Roman"/>
                <w:sz w:val="24"/>
                <w:szCs w:val="24"/>
              </w:rPr>
              <w:t>Экспорт медицинских услуг</w:t>
            </w:r>
          </w:p>
        </w:tc>
        <w:tc>
          <w:tcPr>
            <w:tcW w:w="661" w:type="pct"/>
          </w:tcPr>
          <w:p w:rsidR="00574553" w:rsidRDefault="00574553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F417AB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6735FF" w:rsidRDefault="006735FF" w:rsidP="006735FF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735FF">
              <w:rPr>
                <w:rFonts w:ascii="Times New Roman" w:hAnsi="Times New Roman" w:cs="Times New Roman"/>
                <w:sz w:val="24"/>
                <w:szCs w:val="24"/>
              </w:rPr>
              <w:t>Организован мониторинг осуществления экспорта медицинских услуг государственными медицинскими учреждениями и частными организациями</w:t>
            </w:r>
          </w:p>
        </w:tc>
      </w:tr>
      <w:tr w:rsidR="00574553" w:rsidTr="00B305A3">
        <w:trPr>
          <w:trHeight w:val="495"/>
        </w:trPr>
        <w:tc>
          <w:tcPr>
            <w:tcW w:w="181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574553" w:rsidRPr="00CD3C3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D3C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Образование</w:t>
            </w:r>
          </w:p>
        </w:tc>
        <w:tc>
          <w:tcPr>
            <w:tcW w:w="1102" w:type="pct"/>
            <w:vMerge w:val="restart"/>
          </w:tcPr>
          <w:p w:rsidR="00574553" w:rsidRPr="00A334BE" w:rsidRDefault="00574553" w:rsidP="00A334BE">
            <w:pPr>
              <w:pStyle w:val="a3"/>
              <w:tabs>
                <w:tab w:val="left" w:pos="754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574553" w:rsidRDefault="00574553" w:rsidP="00A334BE">
            <w:pPr>
              <w:pStyle w:val="a3"/>
              <w:numPr>
                <w:ilvl w:val="0"/>
                <w:numId w:val="8"/>
              </w:numPr>
              <w:tabs>
                <w:tab w:val="left" w:pos="754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обеспечение глобал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ной конкурентоспособности российского образования, вхождение Российской Фед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рации в число 10 ведущих стран мира по качеству общ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образования;</w:t>
            </w:r>
          </w:p>
          <w:p w:rsidR="00574553" w:rsidRPr="00A334BE" w:rsidRDefault="00574553" w:rsidP="00A334BE">
            <w:pPr>
              <w:pStyle w:val="a3"/>
              <w:numPr>
                <w:ilvl w:val="0"/>
                <w:numId w:val="8"/>
              </w:numPr>
              <w:tabs>
                <w:tab w:val="left" w:pos="754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воспитание гармони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но развитой и социально 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ветственной личности на 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нове духовно-нравственных ценностей народов Росси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ской Федерации, историч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ских и национально-культурных традиций;</w:t>
            </w:r>
          </w:p>
          <w:p w:rsidR="00574553" w:rsidRDefault="00574553" w:rsidP="00A334BE">
            <w:pPr>
              <w:pStyle w:val="a3"/>
              <w:tabs>
                <w:tab w:val="left" w:pos="754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ния, образовательных техн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логий, обеспечивающих осв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ение обучающимися базовых навыков и умений, повыш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ние их мотивации к обучению и вовлеченности в образов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тельный процесс, а также 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новление содержания и с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вершенствование методов обучения предметной области "Технология";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формирование эффе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тивной системы выявления, поддержки и развития сп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 xml:space="preserve">собностей и талантов у детей и молодежи, основанной на принципах справедливости, всеобщности и направленной 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самоопределение и пр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фессиональную ориентацию всех обучающихся;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раннего развития детей в во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расте до трех лет, реализация программы психолого-педагогической, методич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ской и консультативной п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мощи родителям детей, пол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вание в семье;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 безопасной цифровой обр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зовательной среды, обеспеч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вающей высокое качество и доступность образования всех видов и уровней;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внедрение национал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ной системы профессионал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ного роста педагогических работников, охватывающей не менее 50 процентов учителей общеобразовательных орган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заций;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модернизация пр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образования, в том числе посредством внедрения адаптивных, пра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тико-ориентированных и ги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ких образовательных пр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грамм;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мы непрерывного обновления работающими гражданами своих профессиональных зн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ний и приобретения ими н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вых профессиональных нав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ков, включая овладение ко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петенциями в области цифр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вой экономики всеми жела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щими;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формирование сист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мы профессиональных ко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курсов в целях предоставл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ния гражданам возможностей для профессионального и к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рьерного роста;</w:t>
            </w:r>
          </w:p>
          <w:p w:rsidR="00574553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ства (</w:t>
            </w:r>
            <w:proofErr w:type="spellStart"/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4553" w:rsidRPr="00A334BE" w:rsidRDefault="00574553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увеличение не менее чем в два раза количества иностранных граждан, обуч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ющихся в образовательных организациях высшего обр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зования и научных организ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циях, а также реализация комплекса мер по труд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4BE">
              <w:rPr>
                <w:rFonts w:ascii="Times New Roman" w:hAnsi="Times New Roman" w:cs="Times New Roman"/>
                <w:sz w:val="24"/>
                <w:szCs w:val="24"/>
              </w:rPr>
              <w:t>устройству лучших из них в Российской Федерации.</w:t>
            </w: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30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C417EC" w:rsidRDefault="00574553" w:rsidP="00AC11D9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954430" w:rsidRDefault="00574553" w:rsidP="00A334BE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2019 г. в 4 школах</w:t>
            </w:r>
            <w:r w:rsidRPr="0063618B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сельской местности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(МБОУ СОШ № 2,3,7,13) будет обновлена </w:t>
            </w:r>
            <w:r w:rsidRPr="0063618B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но-техническая база</w:t>
            </w:r>
            <w:r w:rsidRPr="0063618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</w:t>
            </w:r>
            <w:proofErr w:type="gramStart"/>
            <w:r w:rsidRPr="0063618B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636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</w:t>
            </w:r>
            <w:proofErr w:type="gramEnd"/>
            <w:r w:rsidRPr="0063618B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профилей. В настоящее время заключено соглашение с министерством образования, науки и молодежной политики Краснодарского края на сумму 6592 тыс. руб., ведется подготовительная работа по проведению ремонтных работ в классах, в которых  будут открыты Центры «Точка роста»</w:t>
            </w:r>
          </w:p>
        </w:tc>
      </w:tr>
      <w:tr w:rsidR="00574553" w:rsidTr="00B305A3">
        <w:trPr>
          <w:trHeight w:val="1390"/>
        </w:trPr>
        <w:tc>
          <w:tcPr>
            <w:tcW w:w="181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77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A334B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2019 года 71,2% </w:t>
            </w:r>
            <w:r w:rsidRPr="00FC0393">
              <w:rPr>
                <w:rFonts w:ascii="Times New Roman" w:hAnsi="Times New Roman" w:cs="Times New Roman"/>
                <w:sz w:val="24"/>
                <w:szCs w:val="24"/>
              </w:rPr>
              <w:t>детей в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от 5 до 18 лет</w:t>
            </w:r>
            <w:r w:rsidRPr="00FC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FC0393">
              <w:rPr>
                <w:rFonts w:ascii="Times New Roman" w:hAnsi="Times New Roman" w:cs="Times New Roman"/>
                <w:sz w:val="24"/>
                <w:szCs w:val="24"/>
              </w:rPr>
              <w:t>охваче</w:t>
            </w:r>
            <w:r w:rsidRPr="00FC03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393">
              <w:rPr>
                <w:rFonts w:ascii="Times New Roman" w:hAnsi="Times New Roman" w:cs="Times New Roman"/>
                <w:sz w:val="24"/>
                <w:szCs w:val="24"/>
              </w:rPr>
              <w:t>ных дополнительным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943147" w:rsidRDefault="00574553" w:rsidP="00A334B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5879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B05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87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B058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87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05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участвовало 1637 учащихся</w:t>
            </w:r>
            <w:r w:rsidRPr="00B0587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  <w:r w:rsidRPr="00B058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2886 человек, «Финансовая грамотность» - 1104 человек</w:t>
            </w:r>
          </w:p>
        </w:tc>
      </w:tr>
      <w:tr w:rsidR="00574553" w:rsidTr="00B305A3">
        <w:trPr>
          <w:trHeight w:val="340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30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954430" w:rsidRDefault="00574553" w:rsidP="00A334B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2019 проведено 120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 и бесед </w:t>
            </w:r>
            <w:r w:rsidRPr="004A05A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05A5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</w:t>
            </w:r>
            <w:r w:rsidRPr="004A05A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r w:rsidRPr="004A0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  <w:r w:rsidRPr="004A05A5">
              <w:rPr>
                <w:rFonts w:ascii="Times New Roman" w:hAnsi="Times New Roman" w:cs="Times New Roman"/>
                <w:sz w:val="24"/>
                <w:szCs w:val="24"/>
              </w:rPr>
              <w:t>(законным пре</w:t>
            </w:r>
            <w:r w:rsidRPr="004A05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5A5">
              <w:rPr>
                <w:rFonts w:ascii="Times New Roman" w:hAnsi="Times New Roman" w:cs="Times New Roman"/>
                <w:sz w:val="24"/>
                <w:szCs w:val="24"/>
              </w:rPr>
              <w:t>ставителям)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детских садах и школах Тимашевского района.</w:t>
            </w:r>
          </w:p>
        </w:tc>
      </w:tr>
      <w:tr w:rsidR="00574553" w:rsidTr="00B305A3">
        <w:trPr>
          <w:trHeight w:val="340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C417EC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30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954430" w:rsidRDefault="00574553" w:rsidP="00A334B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общего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прошли 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лификации в рамках периодической а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тестации в цифровой форме с использ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 xml:space="preserve">ванием информационного ресурса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3882">
              <w:rPr>
                <w:rFonts w:ascii="Times New Roman" w:hAnsi="Times New Roman" w:cs="Times New Roman"/>
                <w:sz w:val="24"/>
                <w:szCs w:val="24"/>
              </w:rPr>
              <w:t>ного 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74553" w:rsidTr="00B305A3">
        <w:trPr>
          <w:trHeight w:val="340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будущего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B5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4A25B5" w:rsidRDefault="00574553" w:rsidP="00A334B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2,3% </w:t>
            </w:r>
            <w:r w:rsidRPr="000F63DC">
              <w:rPr>
                <w:rFonts w:ascii="Times New Roman" w:hAnsi="Times New Roman" w:cs="Times New Roman"/>
                <w:sz w:val="24"/>
                <w:szCs w:val="24"/>
              </w:rPr>
              <w:t>учителей общеобразовательных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Pr="000F63DC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влечены</w:t>
            </w:r>
            <w:r w:rsidRPr="000F63DC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</w:t>
            </w:r>
            <w:r w:rsidRPr="000F63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63DC">
              <w:rPr>
                <w:rFonts w:ascii="Times New Roman" w:hAnsi="Times New Roman" w:cs="Times New Roman"/>
                <w:sz w:val="24"/>
                <w:szCs w:val="24"/>
              </w:rPr>
              <w:t>ную систему профессионального роста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 через курсовую подготовку, семинары,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ференции. </w:t>
            </w:r>
          </w:p>
        </w:tc>
      </w:tr>
      <w:tr w:rsidR="00574553" w:rsidTr="00B305A3">
        <w:trPr>
          <w:trHeight w:val="340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 (повышение конкурентоспособности профессионального образования)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B5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8A1ADF" w:rsidRDefault="00574553" w:rsidP="00A334B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январе 2019 г. Тимашевский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 кадровых ресурсов участвовал в региональном чемпионате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A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компетенциям «Сухое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ство», «Облицовка плиткой». Мастер производственного обучения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  в рамках данного чемпионата участвовала в компетенции «Навыки мудрых».</w:t>
            </w:r>
          </w:p>
        </w:tc>
      </w:tr>
      <w:tr w:rsidR="00574553" w:rsidTr="00B305A3">
        <w:trPr>
          <w:trHeight w:val="340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возможности для каждого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B5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7163B8" w:rsidRPr="007163B8" w:rsidRDefault="007163B8" w:rsidP="007163B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1 квартала 2019 года пров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 мониторинг образовательных орг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низаций Краснодарского края, пред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ставляющих услуги по профессионал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 подготовке и переподготовке с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трудников.</w:t>
            </w:r>
          </w:p>
          <w:p w:rsidR="00574553" w:rsidRPr="004A25B5" w:rsidRDefault="007163B8" w:rsidP="00B36DDF">
            <w:pPr>
              <w:pStyle w:val="a3"/>
              <w:widowControl w:val="0"/>
              <w:tabs>
                <w:tab w:val="left" w:pos="1021"/>
                <w:tab w:val="left" w:pos="26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феврале - марте 2019 г. прошли встречи руководителей образовательных организации с представителями ГБОУДПО «Институт развития образования КК, АНПОО «Кубанский институт профессионального образования», НЧОУ ДПО </w:t>
            </w:r>
            <w:r w:rsidR="00B36D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«Учебный центр Персонал-Ресурс»</w:t>
            </w:r>
            <w:r w:rsidRPr="00716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были даны разъяснения по формам обучения.</w:t>
            </w:r>
          </w:p>
        </w:tc>
      </w:tr>
      <w:tr w:rsidR="00574553" w:rsidTr="00B305A3">
        <w:trPr>
          <w:trHeight w:val="420"/>
        </w:trPr>
        <w:tc>
          <w:tcPr>
            <w:tcW w:w="18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C85E7D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7D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7D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C85E7D" w:rsidRDefault="00574553" w:rsidP="008F13CB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10300 </w:t>
            </w:r>
            <w:r w:rsidRPr="008F2D3D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8F2D3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вовлечены в деятельность общественных объединений на базе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(«Суворовцы»,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«Юные друзья пограничников»,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Юноармейцы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«Союз казачьей молодежи», «Российское движение школьников»)</w:t>
            </w:r>
          </w:p>
        </w:tc>
      </w:tr>
      <w:tr w:rsidR="00574553" w:rsidTr="00B305A3">
        <w:trPr>
          <w:trHeight w:val="1125"/>
        </w:trPr>
        <w:tc>
          <w:tcPr>
            <w:tcW w:w="181" w:type="pct"/>
            <w:vMerge w:val="restar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4" w:type="pct"/>
            <w:vMerge w:val="restart"/>
          </w:tcPr>
          <w:p w:rsidR="00574553" w:rsidRPr="00D05F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05F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Жилье и </w:t>
            </w:r>
            <w:proofErr w:type="gramStart"/>
            <w:r w:rsidRPr="00D05F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городская</w:t>
            </w:r>
            <w:proofErr w:type="gramEnd"/>
            <w:r w:rsidRPr="00D05F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1102" w:type="pct"/>
            <w:vMerge w:val="restart"/>
          </w:tcPr>
          <w:p w:rsidR="00574553" w:rsidRPr="00A11A1F" w:rsidRDefault="00574553" w:rsidP="00E85B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574553" w:rsidRPr="00AC11D9" w:rsidRDefault="00574553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жильем семей со средним д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статком, в том числе создание возможностей для приобрет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ния (строительства) ими ж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лья с использованием ипоте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ного кредита, ставка по кот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рому должна быть менее 8 процентов;</w:t>
            </w:r>
          </w:p>
          <w:p w:rsidR="00574553" w:rsidRPr="00AC11D9" w:rsidRDefault="00574553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увеличение объема ж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не менее чем до 120 млн. ква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ратных метров в год;</w:t>
            </w:r>
          </w:p>
          <w:p w:rsidR="00574553" w:rsidRPr="00AC11D9" w:rsidRDefault="00574553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кардинальное повыш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гоприятной средой в два раза;</w:t>
            </w:r>
          </w:p>
          <w:p w:rsidR="00574553" w:rsidRPr="00AC11D9" w:rsidRDefault="00574553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  <w:p w:rsidR="00574553" w:rsidRDefault="00574553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 xml:space="preserve">го сокращения непригодного </w:t>
            </w:r>
            <w:r w:rsidRPr="00AC1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проживания жилищного фонда;</w:t>
            </w:r>
          </w:p>
          <w:p w:rsidR="00574553" w:rsidRDefault="00574553" w:rsidP="00A11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553" w:rsidRDefault="00574553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ханизмов финансирования жилищного строительства, в том числе посредством разв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тия рынка ипотечных ценных бумаг и поэтапного перехода от привлечения денежных сре</w:t>
            </w:r>
            <w:proofErr w:type="gramStart"/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я долевого стро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тельства многоквартирных домов и иных объектов н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движимости к другим формам финансирования жилищного строительства, обеспечива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щим защиту прав граждан и снижение рисков для них;</w:t>
            </w:r>
          </w:p>
          <w:p w:rsidR="00574553" w:rsidRDefault="00574553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модернизация строител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ной отрасли и повышение качества индустриального жилищного строительства, в том числе посредством уст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новления ограничений на 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пользование устаревших те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нологий и стимулирования внедрения передовых техн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логий в проектировании и строительстве, совершенств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вание механизмов госуда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ственной поддержки стро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тельства стандартного жилья;</w:t>
            </w:r>
          </w:p>
          <w:p w:rsidR="00574553" w:rsidRDefault="00574553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администр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тивной нагрузки на застро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щиков, совершенствование нормативно-правовой базы и порядка регулирования де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тельности в сфере жилищного строительства;</w:t>
            </w:r>
          </w:p>
          <w:p w:rsidR="00574553" w:rsidRDefault="00574553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го использования земель в целях массового жилищного строительства при условии сохранения и развития зел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ного фонда и территорий, на которых располагаются пр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родные объекты, имеющие экологическое, историко-культурное, рекреационное, оздоровительное и иное це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ное значение;</w:t>
            </w:r>
          </w:p>
          <w:p w:rsidR="00574553" w:rsidRDefault="00574553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ра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вития комфортной городской среды, комплексного развития городов и других населенных пунктов с учетом индекса к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чества городской среды;</w:t>
            </w:r>
          </w:p>
          <w:p w:rsidR="00574553" w:rsidRPr="00A11A1F" w:rsidRDefault="00574553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п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реселения граждан из непр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годного для проживания ж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лищного фонда, обеспечив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ющих соблюдение их жили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ных прав, установленных з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 xml:space="preserve">конодательством Российской 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Федерации.</w:t>
            </w: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</w:t>
            </w:r>
          </w:p>
        </w:tc>
        <w:tc>
          <w:tcPr>
            <w:tcW w:w="661" w:type="pct"/>
          </w:tcPr>
          <w:p w:rsidR="00574553" w:rsidRPr="00AC11D9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D9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Pr="00AC11D9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9F43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жилья на территории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Тимашевский район – 3,13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3F48D7" w:rsidRDefault="00574553" w:rsidP="009F43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2019 году по жилищным программам получили помощь 8 семей на сумму 9,6 млн. руб.</w:t>
            </w:r>
          </w:p>
          <w:p w:rsidR="00574553" w:rsidRPr="003F48D7" w:rsidRDefault="00574553" w:rsidP="009F43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рамках подпрограммы «Устойчивое развитие сельских территорий» гос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дарственной программы развития сел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ского хозяйства и регулирования ры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ков сельскохозяйственной продукции, сырья и продовольствия на 2013-2020 годы» </w:t>
            </w:r>
            <w:proofErr w:type="gramStart"/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гражданам, проживающим в сельской местности выданы</w:t>
            </w:r>
            <w:proofErr w:type="gramEnd"/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свидетел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ства, подтверждающие право на пол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чение социальной выплаты на общую сумму более 6 млн. рублей. В результ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 чего работники агропромышленного комплекса построят 5 жилых домов.</w:t>
            </w:r>
          </w:p>
          <w:p w:rsidR="00574553" w:rsidRPr="003F48D7" w:rsidRDefault="00574553" w:rsidP="009F438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рамках мероприятия по обеспечению жильем молодых семей выданы свид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тельства о праве на получение социал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ной выплаты на приобретение</w:t>
            </w:r>
            <w:proofErr w:type="gramEnd"/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жилого помещения или создание объекта инд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видуального жилищного строительства 3 молодым семьям, 2 из которых явл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ются многодетными. Из средств фед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рального бюджета выделено 669 940,84 рубля, из краевого бюджета 630 745,82 рубля, из бюджета муниципального о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разования Тимашевский район 1 589 728,14 рублей, что составляет в </w:t>
            </w:r>
            <w:r w:rsidRPr="003F48D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общей сумме 2 890 414,80 рублей.</w:t>
            </w:r>
          </w:p>
          <w:p w:rsidR="00574553" w:rsidRDefault="00574553" w:rsidP="009F43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 xml:space="preserve"> рамках государственной программы Краснодарского края «Социальная по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держка граждан» 1 жителю Тимаше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ского района в 1 квартале 2019 г. оказ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на государственная поддержка в улу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 xml:space="preserve">шении жилищных условий по категории «Ветераны ВОВ и приравненные к ним лица» - 1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 xml:space="preserve"> сумму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716 рублей (средства выделены из фед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8D7">
              <w:rPr>
                <w:rFonts w:ascii="Times New Roman" w:hAnsi="Times New Roman" w:cs="Times New Roman"/>
                <w:sz w:val="24"/>
                <w:szCs w:val="24"/>
              </w:rPr>
              <w:t>рального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553" w:rsidTr="00B305A3">
        <w:trPr>
          <w:trHeight w:val="321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B5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AC11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Откорректирован р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асчет начальной (максима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льной) цены контракта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ектам «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Благоустройство мемориальн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комплекса в ст. Днепровская» и «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устройство парка в ст. Днепровская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Одобрено софинансирование по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указанных территорий. </w:t>
            </w:r>
          </w:p>
          <w:p w:rsidR="00574553" w:rsidRDefault="00574553" w:rsidP="00AC11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 xml:space="preserve">24 марта 2019 года на территории Тимашевского городского поселения проведено рейтинговое голосование по отбору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рий Т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машевского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машевского района для опреде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ления благоустройства в первоочередном п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9E4">
              <w:rPr>
                <w:rFonts w:ascii="Times New Roman" w:hAnsi="Times New Roman" w:cs="Times New Roman"/>
                <w:sz w:val="24"/>
                <w:szCs w:val="24"/>
              </w:rPr>
              <w:t>рядке.</w:t>
            </w:r>
          </w:p>
          <w:p w:rsidR="00574553" w:rsidRDefault="00574553" w:rsidP="00AC11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объекту «Благоустройство парка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ст-це</w:t>
            </w:r>
            <w:proofErr w:type="spellEnd"/>
            <w:r w:rsidRPr="00EA13A3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ул. Ленина, 101</w:t>
            </w:r>
            <w:proofErr w:type="gramStart"/>
            <w:r w:rsidRPr="00EA13A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в ГАУ КК «</w:t>
            </w:r>
            <w:proofErr w:type="spellStart"/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аркрай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госэк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пертиза</w:t>
            </w:r>
            <w:proofErr w:type="spellEnd"/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» для прохождения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экспертизы ценообразо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574553" w:rsidRDefault="00574553" w:rsidP="00AC11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объекту «Благоустройство сквера в</w:t>
            </w:r>
            <w:r w:rsidRPr="00EA1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воленинском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</w:t>
            </w:r>
            <w:proofErr w:type="spellStart"/>
            <w:r w:rsidRPr="00EA13A3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A1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Ленинский, ул. Космонавтов, 1Д»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в ГАУ КК «</w:t>
            </w:r>
            <w:proofErr w:type="spellStart"/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Краснод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» для прохождения гос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рственной экспертизы ценообразо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74553" w:rsidRPr="004A25B5" w:rsidRDefault="00574553" w:rsidP="00AC11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объекту «Благоустройство 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 xml:space="preserve">ресу: </w:t>
            </w:r>
            <w:proofErr w:type="spellStart"/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D87CAD">
              <w:rPr>
                <w:rFonts w:ascii="Times New Roman" w:hAnsi="Times New Roman" w:cs="Times New Roman"/>
                <w:sz w:val="24"/>
                <w:szCs w:val="24"/>
              </w:rPr>
              <w:t xml:space="preserve"> Медведовская, ул. Пушкина, 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находится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 xml:space="preserve"> в ГАУ КК «</w:t>
            </w:r>
            <w:proofErr w:type="spellStart"/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Краснода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край-госэкспертиза</w:t>
            </w:r>
            <w:proofErr w:type="spellEnd"/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» для прохождения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рственной экспертизы ценообр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D87CAD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</w:tr>
      <w:tr w:rsidR="00574553" w:rsidTr="00B305A3">
        <w:trPr>
          <w:trHeight w:val="321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B5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4A25B5" w:rsidRDefault="00574553" w:rsidP="00AC1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Тимашевский район непригодный для проживания жилищный фонд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сутствует.</w:t>
            </w:r>
          </w:p>
        </w:tc>
      </w:tr>
      <w:tr w:rsidR="00574553" w:rsidTr="00B305A3">
        <w:trPr>
          <w:trHeight w:val="321"/>
        </w:trPr>
        <w:tc>
          <w:tcPr>
            <w:tcW w:w="181" w:type="pct"/>
            <w:vMerge w:val="restar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4" w:type="pct"/>
            <w:vMerge w:val="restart"/>
          </w:tcPr>
          <w:p w:rsidR="00574553" w:rsidRPr="00CD3C3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D3C3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1102" w:type="pct"/>
            <w:vMerge w:val="restart"/>
          </w:tcPr>
          <w:p w:rsidR="00574553" w:rsidRPr="005446B6" w:rsidRDefault="00574553" w:rsidP="005446B6">
            <w:pPr>
              <w:pStyle w:val="a3"/>
              <w:tabs>
                <w:tab w:val="left" w:pos="394"/>
              </w:tabs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574553" w:rsidRDefault="00574553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эффективное обращение с отходами производства и п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требления, включая ликвид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цию всех выявленных на 1 января 2018 г. несанкцион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рованных свалок в границах городов;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кардинальное снижение уровня загрязнения атм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сферного воздуха в крупных промышленных центрах, в том числе уменьшение не м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нее чем на 20 процентов сов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купного объема выбросов з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грязняющих веществ в атм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сферный воздух в наиболее загрязненных городах;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тьевой воды для населения, в том числе для жителей нас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ленных пунктов, не оборуд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ванных современными сист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мами централизованного в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доснабжения;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экологическое оздоро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ление водных объектов, включая реку Волгу, и сохр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нение уникальных водных систем, включая озера Байкал и Телецкое;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биологич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ского разнообразия, в том числе посредством создания не менее 24 новых особо охраняемых природных те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риторий;</w:t>
            </w:r>
          </w:p>
          <w:p w:rsidR="00574553" w:rsidRPr="005446B6" w:rsidRDefault="00574553" w:rsidP="005446B6">
            <w:pPr>
              <w:pStyle w:val="a3"/>
              <w:tabs>
                <w:tab w:val="left" w:pos="394"/>
              </w:tabs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4553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ной системы обращения с твердыми коммунальными отходами, включая ликвид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цию свалок и рекультивацию территорий, на которых они размещены, создание условий для вторичной переработки всех запрещенных к захор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нению отходов производства и потребления;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создание и эффективное функционирование во всех субъектах Российской Фед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рации системы общественн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го контроля, направленной на выявление и ликвидацию н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санкционированных свалок;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инфраструктуры, обеспеч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вающей безопасное обращ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 xml:space="preserve">ние с отходами I и II классов опасности, и ликвидация наиболее опасных объектов накопленного экологического 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вреда;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комплексных планов мероприятий по сн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жению выбросов загрязня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щих веществ в атмосферный воздух в крупных промы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ленных центрах, включая г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рода Братск, Красноярск, Л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пецк, Магнитогорск, Медн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горск, Нижний Тагил, Нов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кузнецк, Норильск, Омск, Ч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лябинск, Череповец и Читу, с учетом сводных расчетов д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пустимого в этих городах негативного воздействия на окружающую среду;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применение всеми объе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тами, оказывающими знач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тельное негативное возде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ствие на окружающую среду, системы экологического рег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лирования, основанной на использовании наилучших доступных технологий;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тьевой воды посредством м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дернизации систем водосна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жения с использованием пе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спективных технологий вод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подготовки, включая технол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гии, разработанные организ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циями оборонно-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промышленного комплекса;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экологическая реабил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ционирование водохозя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ственного комплекса Нижней Волги и сохранение экосист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мы Волго-</w:t>
            </w:r>
            <w:proofErr w:type="spellStart"/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Ахтубинской</w:t>
            </w:r>
            <w:proofErr w:type="spellEnd"/>
            <w:r w:rsidRPr="005446B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сохранение уникальных водных объектов, в том числе реализация проекта по сохр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нению озера Байкал, а также мероприятий по очистке от мусора берегов и прибрежной акватории озер Байкал, Т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лецкое, Ладожское, Онежское и рек Волги, Дона, Оби, Ен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сея, Амура, Урала, Печоры;</w:t>
            </w:r>
          </w:p>
          <w:p w:rsidR="00574553" w:rsidRPr="005446B6" w:rsidRDefault="00574553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сохранение биологич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ского разнообразия, включая увеличение площади особо охраняемых природных те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 xml:space="preserve">риторий на 5 млн. гектаров, </w:t>
            </w:r>
            <w:proofErr w:type="spellStart"/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реинтродукцию</w:t>
            </w:r>
            <w:proofErr w:type="spellEnd"/>
            <w:r w:rsidRPr="005446B6">
              <w:rPr>
                <w:rFonts w:ascii="Times New Roman" w:hAnsi="Times New Roman" w:cs="Times New Roman"/>
                <w:sz w:val="24"/>
                <w:szCs w:val="24"/>
              </w:rPr>
              <w:t xml:space="preserve"> редких видов животных, создание инфр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структуры для экологического туризма в национальных па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ках, а также сохранение лесов, в том числе на основе их во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6B6">
              <w:rPr>
                <w:rFonts w:ascii="Times New Roman" w:hAnsi="Times New Roman" w:cs="Times New Roman"/>
                <w:sz w:val="24"/>
                <w:szCs w:val="24"/>
              </w:rPr>
              <w:t>производства на всех участках вырубленных и погибших лесных насаждений.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лесов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 А.В.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C417EC" w:rsidRDefault="00574553" w:rsidP="00CD3C35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национального проекта не представляется возможным в связи с тем, что на территории муниципального образования Тимашевский район нет лесов</w:t>
            </w:r>
          </w:p>
        </w:tc>
      </w:tr>
      <w:tr w:rsidR="00574553" w:rsidTr="00B305A3">
        <w:trPr>
          <w:trHeight w:val="321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питьевой воды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B5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544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проведена 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ющая работа:</w:t>
            </w:r>
          </w:p>
          <w:p w:rsidR="00574553" w:rsidRPr="00095A2C" w:rsidRDefault="00574553" w:rsidP="005446B6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095A2C">
              <w:rPr>
                <w:rFonts w:ascii="Times New Roman" w:hAnsi="Times New Roman"/>
                <w:sz w:val="24"/>
                <w:szCs w:val="27"/>
              </w:rPr>
              <w:t>1) организовано выполнение меропри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я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тий по охране источников питьевого водоснабжения от загрязнения и утве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р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жденных санитарно-технических мер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о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приятий во втором и третьем поясах зон санитарной охраны на всех водозаб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о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рах;</w:t>
            </w:r>
          </w:p>
          <w:p w:rsidR="00574553" w:rsidRPr="00095A2C" w:rsidRDefault="00574553" w:rsidP="005446B6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2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)</w:t>
            </w:r>
            <w:r>
              <w:rPr>
                <w:rFonts w:ascii="Times New Roman" w:hAnsi="Times New Roman"/>
                <w:sz w:val="24"/>
                <w:szCs w:val="27"/>
              </w:rPr>
              <w:t xml:space="preserve"> 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проведен</w:t>
            </w:r>
            <w:r>
              <w:rPr>
                <w:rFonts w:ascii="Times New Roman" w:hAnsi="Times New Roman"/>
                <w:sz w:val="24"/>
                <w:szCs w:val="27"/>
              </w:rPr>
              <w:t>ы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7"/>
              </w:rPr>
              <w:t>я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, связанны</w:t>
            </w:r>
            <w:r>
              <w:rPr>
                <w:rFonts w:ascii="Times New Roman" w:hAnsi="Times New Roman"/>
                <w:sz w:val="24"/>
                <w:szCs w:val="27"/>
              </w:rPr>
              <w:t>е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 xml:space="preserve"> с обеспечением постоянного обеззараж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и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вания питьевой воды, подаваемой нас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е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лению, очищению сточных вод на очистных сооружениях канализации, созда</w:t>
            </w:r>
            <w:r>
              <w:rPr>
                <w:rFonts w:ascii="Times New Roman" w:hAnsi="Times New Roman"/>
                <w:sz w:val="24"/>
                <w:szCs w:val="27"/>
              </w:rPr>
              <w:t>н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 xml:space="preserve"> для этих целей нео</w:t>
            </w:r>
            <w:r>
              <w:rPr>
                <w:rFonts w:ascii="Times New Roman" w:hAnsi="Times New Roman"/>
                <w:sz w:val="24"/>
                <w:szCs w:val="27"/>
              </w:rPr>
              <w:t>б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ходимый з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а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пас дезинфицирующих средств;</w:t>
            </w:r>
          </w:p>
          <w:p w:rsidR="00574553" w:rsidRPr="00095A2C" w:rsidRDefault="00574553" w:rsidP="005446B6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3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) принят</w:t>
            </w:r>
            <w:r>
              <w:rPr>
                <w:rFonts w:ascii="Times New Roman" w:hAnsi="Times New Roman"/>
                <w:sz w:val="24"/>
                <w:szCs w:val="27"/>
              </w:rPr>
              <w:t>ы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 xml:space="preserve"> меры </w:t>
            </w:r>
            <w:r>
              <w:rPr>
                <w:rFonts w:ascii="Times New Roman" w:hAnsi="Times New Roman"/>
                <w:sz w:val="24"/>
                <w:szCs w:val="27"/>
              </w:rPr>
              <w:t>по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 xml:space="preserve"> недопущению п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о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дачи питьевой воды населению от об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ъ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ектов систем водоснабжения без лаб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о</w:t>
            </w:r>
            <w:r w:rsidRPr="00095A2C">
              <w:rPr>
                <w:rFonts w:ascii="Times New Roman" w:hAnsi="Times New Roman"/>
                <w:sz w:val="24"/>
                <w:szCs w:val="27"/>
              </w:rPr>
              <w:t>раторного контроля ее качества;</w:t>
            </w:r>
          </w:p>
          <w:p w:rsidR="00574553" w:rsidRDefault="00574553" w:rsidP="00544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повышения качества питьевой воды в</w:t>
            </w:r>
            <w:r w:rsidRPr="00407989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водосна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к весенне-летнему периоду в 2019 году </w:t>
            </w:r>
            <w:r w:rsidRPr="00407989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запланирована промывка и дезинфекция 219,8 км водопроводных </w:t>
            </w:r>
            <w:r w:rsidRPr="0040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CB3823" w:rsidRDefault="00574553" w:rsidP="005446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качественного вод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 населения администрацией Тимашевского городского поселения заключен муниципальный контракт на сумму 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 рублей на выполнение работ в 2019 году по проектированию водозабора в </w:t>
            </w:r>
            <w:proofErr w:type="spellStart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. Садовод г. Тимаше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ска. </w:t>
            </w:r>
          </w:p>
          <w:p w:rsidR="00574553" w:rsidRPr="00CB3823" w:rsidRDefault="00574553" w:rsidP="005446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аключен муниципальный контракт на выполнение работ по проектированию водозаборного сооружения в </w:t>
            </w:r>
            <w:proofErr w:type="spellStart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-не Южный г. Тимашевска на сумму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рублей. </w:t>
            </w:r>
          </w:p>
          <w:p w:rsidR="00574553" w:rsidRDefault="00574553" w:rsidP="005446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проекты будут направлены в м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нистерство топливно-энергетического комплекса и жилищно-коммунального хозяйства Краснодарского края для уч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стия в реализации федерального прое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та «Чистая вода».</w:t>
            </w:r>
          </w:p>
          <w:p w:rsidR="00574553" w:rsidRPr="005446B6" w:rsidRDefault="00574553" w:rsidP="005446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одобрены заявки на выделение денежных средств из краев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 для выполнения строител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но-монтажных работ по водоснабжению </w:t>
            </w:r>
            <w:proofErr w:type="spellStart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Ленина и ремонту артезианской скважины в </w:t>
            </w:r>
            <w:proofErr w:type="spellStart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ст-це</w:t>
            </w:r>
            <w:proofErr w:type="spellEnd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Днепровской Дн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провского сельского поселения и гот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вятся документы о выделении дене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азмере 8 млн. 452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и 2 млн. 148 тысяч рублей соотве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38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ственно.</w:t>
            </w:r>
          </w:p>
        </w:tc>
      </w:tr>
      <w:tr w:rsidR="00574553" w:rsidTr="00C70476">
        <w:trPr>
          <w:trHeight w:val="1846"/>
        </w:trPr>
        <w:tc>
          <w:tcPr>
            <w:tcW w:w="181" w:type="pct"/>
            <w:vMerge w:val="restar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4" w:type="pct"/>
            <w:vMerge w:val="restart"/>
          </w:tcPr>
          <w:p w:rsidR="00574553" w:rsidRPr="007D0A2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D0A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Безопасные и качественные автодороги</w:t>
            </w:r>
          </w:p>
        </w:tc>
        <w:tc>
          <w:tcPr>
            <w:tcW w:w="1102" w:type="pct"/>
            <w:vMerge w:val="restart"/>
          </w:tcPr>
          <w:p w:rsidR="00574553" w:rsidRPr="00EE30EA" w:rsidRDefault="00574553" w:rsidP="00EE30EA">
            <w:pPr>
              <w:pStyle w:val="a3"/>
              <w:ind w:left="2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0E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574553" w:rsidRDefault="00574553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CC">
              <w:rPr>
                <w:rFonts w:ascii="Times New Roman" w:hAnsi="Times New Roman"/>
                <w:sz w:val="24"/>
                <w:szCs w:val="24"/>
              </w:rPr>
              <w:t>увеличение доли а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в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томобильных дорог реги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о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нального значения, соотве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т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ствующих нормативным тр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е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бованиям, в их общей прот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я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женности не менее чем до 50 процентов (относительно их протяженности по состоянию на 31 декабря 2017 г.), а также утверждение органами гос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у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 xml:space="preserve">дарственной власти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 xml:space="preserve"> таких нормативов исходя из установленных на фед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е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ральном уровне требований безопасности автомобильных дорог;</w:t>
            </w:r>
          </w:p>
          <w:p w:rsidR="00574553" w:rsidRDefault="00574553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CC">
              <w:rPr>
                <w:rFonts w:ascii="Times New Roman" w:hAnsi="Times New Roman"/>
                <w:sz w:val="24"/>
                <w:szCs w:val="24"/>
              </w:rPr>
              <w:t>снижение доли авт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о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мобильных дорог федерал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ь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ного и регионального знач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е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ния, работающих в режиме перегрузки, в их общей пр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о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тяженности на 10 процентов по сравнению с 2017 годом;</w:t>
            </w:r>
          </w:p>
          <w:p w:rsidR="00574553" w:rsidRDefault="00574553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CC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</w:t>
            </w:r>
            <w:r w:rsidRPr="00B204CC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 происшествий (аварийно-опасных участков) на дорожной сети в два раза по сравнению с 2017 годом;</w:t>
            </w:r>
          </w:p>
          <w:p w:rsidR="00574553" w:rsidRDefault="00574553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CC">
              <w:rPr>
                <w:rFonts w:ascii="Times New Roman" w:hAnsi="Times New Roman"/>
                <w:sz w:val="24"/>
                <w:szCs w:val="24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о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век на 100 тыс. населения (к 2030 году - стремление к н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у</w:t>
            </w:r>
            <w:r w:rsidRPr="00B204CC">
              <w:rPr>
                <w:rFonts w:ascii="Times New Roman" w:hAnsi="Times New Roman"/>
                <w:sz w:val="24"/>
                <w:szCs w:val="24"/>
              </w:rPr>
              <w:t>левому уровню смертности);</w:t>
            </w:r>
          </w:p>
          <w:p w:rsidR="00574553" w:rsidRPr="00E85B4D" w:rsidRDefault="00574553" w:rsidP="00EE30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4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4553" w:rsidRDefault="00574553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доведение в крупнейших городских агломерациях доли автомобильных дорог, соо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ветствующих нормативным требованиям, в их общей пр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тяженности до 85 процентов;</w:t>
            </w:r>
          </w:p>
          <w:p w:rsidR="00574553" w:rsidRDefault="00574553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применение новых мех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низмов развития и эксплуат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ции дорожной сети, включая использование инфрастру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турной ипотеки, контрактов жизненного цикла, наилу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ших технологий и матери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574553" w:rsidRDefault="00574553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</w:t>
            </w:r>
            <w:proofErr w:type="gramStart"/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норматива з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числения налоговых доходов бюджетов субъектов Росси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proofErr w:type="gramEnd"/>
            <w:r w:rsidRPr="00EE30EA">
              <w:rPr>
                <w:rFonts w:ascii="Times New Roman" w:hAnsi="Times New Roman" w:cs="Times New Roman"/>
                <w:sz w:val="24"/>
                <w:szCs w:val="24"/>
              </w:rPr>
              <w:t xml:space="preserve"> от акцизов на 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горюче-смазочные материалы до 100 процентов;</w:t>
            </w:r>
          </w:p>
          <w:p w:rsidR="00574553" w:rsidRDefault="00574553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внедрение общедосту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30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ем и использованием средств дорожных фондов всех уро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ней (в 2019 году);</w:t>
            </w:r>
          </w:p>
          <w:p w:rsidR="00574553" w:rsidRDefault="00574553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экономического стимулир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вания сохранности автом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бильных дорог регионального и местного значения;</w:t>
            </w:r>
          </w:p>
          <w:p w:rsidR="00574553" w:rsidRDefault="00574553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ческих требований и станда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gramStart"/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обустройства</w:t>
            </w:r>
            <w:proofErr w:type="gramEnd"/>
            <w:r w:rsidRPr="00EE30EA">
              <w:rPr>
                <w:rFonts w:ascii="Times New Roman" w:hAnsi="Times New Roman" w:cs="Times New Roman"/>
                <w:sz w:val="24"/>
                <w:szCs w:val="24"/>
              </w:rPr>
              <w:t xml:space="preserve"> автом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  <w:p w:rsidR="00574553" w:rsidRDefault="00574553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ванных и роботизированных технологий организации д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 xml:space="preserve">рожного движения и </w:t>
            </w:r>
            <w:proofErr w:type="gramStart"/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30E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д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рожного движения;</w:t>
            </w:r>
          </w:p>
          <w:p w:rsidR="00574553" w:rsidRPr="00EE30EA" w:rsidRDefault="00574553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усиление ответственности водителей за нарушение пр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вил дорожного движения, а также повышение требований к уровню их профессионал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подготовки.</w:t>
            </w:r>
          </w:p>
        </w:tc>
        <w:tc>
          <w:tcPr>
            <w:tcW w:w="757" w:type="pct"/>
          </w:tcPr>
          <w:p w:rsidR="00574553" w:rsidRPr="0001031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Общесистемные меры развития </w:t>
            </w:r>
          </w:p>
          <w:p w:rsidR="00574553" w:rsidRPr="0001031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5">
              <w:rPr>
                <w:rFonts w:ascii="Times New Roman" w:hAnsi="Times New Roman" w:cs="Times New Roman"/>
                <w:sz w:val="24"/>
                <w:szCs w:val="24"/>
              </w:rPr>
              <w:t>дорожного хозяйства</w:t>
            </w:r>
          </w:p>
        </w:tc>
        <w:tc>
          <w:tcPr>
            <w:tcW w:w="661" w:type="pct"/>
          </w:tcPr>
          <w:p w:rsidR="00574553" w:rsidRPr="0001031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5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Pr="0001031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0103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и Тимашевским городским поселением р</w:t>
            </w:r>
            <w:r w:rsidRPr="0077145C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77145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7145C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14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дорожного движ</w:t>
            </w:r>
            <w:r w:rsidRPr="007714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45C">
              <w:rPr>
                <w:rFonts w:ascii="Times New Roman" w:hAnsi="Times New Roman" w:cs="Times New Roman"/>
                <w:sz w:val="24"/>
                <w:szCs w:val="24"/>
              </w:rPr>
              <w:t>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77145C">
              <w:rPr>
                <w:rFonts w:ascii="Times New Roman" w:hAnsi="Times New Roman" w:cs="Times New Roman"/>
                <w:sz w:val="24"/>
                <w:szCs w:val="24"/>
              </w:rPr>
              <w:t>КСОДД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4553" w:rsidRPr="004A25B5" w:rsidRDefault="00574553" w:rsidP="000103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м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ский район ведутся переговоры с п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тенциальными подрядными организ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 xml:space="preserve">циями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F0708">
              <w:rPr>
                <w:rFonts w:ascii="Times New Roman" w:hAnsi="Times New Roman" w:cs="Times New Roman"/>
                <w:sz w:val="24"/>
                <w:szCs w:val="24"/>
              </w:rPr>
              <w:t>КСОДД. После проведения конкурсных процедур, к работам по разработке КСОДД планируется приступить в июле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завершить работу в сентябре 2019 года.</w:t>
            </w:r>
          </w:p>
        </w:tc>
      </w:tr>
      <w:tr w:rsidR="00574553" w:rsidTr="00B305A3">
        <w:trPr>
          <w:trHeight w:val="1380"/>
        </w:trPr>
        <w:tc>
          <w:tcPr>
            <w:tcW w:w="181" w:type="pct"/>
            <w:vMerge/>
            <w:tcBorders>
              <w:bottom w:val="single" w:sz="4" w:space="0" w:color="auto"/>
            </w:tcBorders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74553" w:rsidRPr="004D4F9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дорожной деятельности в отношении автомобильных дорог </w:t>
            </w:r>
          </w:p>
          <w:p w:rsidR="00574553" w:rsidRPr="00056CC8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CC8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пользования, объектов </w:t>
            </w:r>
          </w:p>
          <w:p w:rsidR="00574553" w:rsidRPr="00056CC8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CC8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</w:t>
            </w:r>
            <w:r w:rsidRPr="00056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CC8">
              <w:rPr>
                <w:rFonts w:ascii="Times New Roman" w:hAnsi="Times New Roman" w:cs="Times New Roman"/>
                <w:sz w:val="24"/>
                <w:szCs w:val="24"/>
              </w:rPr>
              <w:t>на 2019-2024 годы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Сивкович А.А.</w:t>
            </w: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574553" w:rsidRPr="003139B2" w:rsidRDefault="00574553" w:rsidP="00B204CC">
            <w:pPr>
              <w:pStyle w:val="a3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139B2">
              <w:rPr>
                <w:rFonts w:ascii="Times New Roman" w:hAnsi="Times New Roman"/>
                <w:sz w:val="24"/>
                <w:szCs w:val="24"/>
              </w:rPr>
              <w:t>Проведен мониторинг состояния а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в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томобильных дорог местного значения, вне населенных пунктов муниципальн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Pr="003139B2">
              <w:rPr>
                <w:rFonts w:ascii="Times New Roman" w:hAnsi="Times New Roman"/>
                <w:sz w:val="24"/>
                <w:szCs w:val="24"/>
              </w:rPr>
              <w:t>Тимшевский</w:t>
            </w:r>
            <w:proofErr w:type="spellEnd"/>
            <w:r w:rsidRPr="003139B2">
              <w:rPr>
                <w:rFonts w:ascii="Times New Roman" w:hAnsi="Times New Roman"/>
                <w:sz w:val="24"/>
                <w:szCs w:val="24"/>
              </w:rPr>
              <w:t xml:space="preserve"> район:</w:t>
            </w:r>
          </w:p>
          <w:p w:rsidR="00574553" w:rsidRPr="003139B2" w:rsidRDefault="00574553" w:rsidP="00B204CC">
            <w:pPr>
              <w:pStyle w:val="a3"/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3139B2">
              <w:rPr>
                <w:rFonts w:ascii="Times New Roman" w:hAnsi="Times New Roman"/>
                <w:sz w:val="24"/>
                <w:szCs w:val="24"/>
              </w:rPr>
              <w:t>«подъезд к поселку Новый Поселк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вого сельского поселения Тимашевск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 xml:space="preserve">го района» и ««Подъезд к </w:t>
            </w:r>
            <w:proofErr w:type="spellStart"/>
            <w:r w:rsidRPr="003139B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139B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139B2">
              <w:rPr>
                <w:rFonts w:ascii="Times New Roman" w:hAnsi="Times New Roman"/>
                <w:sz w:val="24"/>
                <w:szCs w:val="24"/>
              </w:rPr>
              <w:t>анцура</w:t>
            </w:r>
            <w:proofErr w:type="spellEnd"/>
            <w:r w:rsidRPr="003139B2">
              <w:rPr>
                <w:rFonts w:ascii="Times New Roman" w:hAnsi="Times New Roman"/>
                <w:sz w:val="24"/>
                <w:szCs w:val="24"/>
              </w:rPr>
              <w:t xml:space="preserve"> Крамаренко» Д</w:t>
            </w:r>
            <w:r>
              <w:rPr>
                <w:rFonts w:ascii="Times New Roman" w:hAnsi="Times New Roman"/>
                <w:sz w:val="24"/>
                <w:szCs w:val="24"/>
              </w:rPr>
              <w:t>ербентского сельского поселения.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 xml:space="preserve"> Подготовлены сметные ра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 xml:space="preserve">четы на выполнение ямочного ремонта </w:t>
            </w:r>
            <w:r w:rsidRPr="003139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автодороги  «подъезд к </w:t>
            </w:r>
            <w:proofErr w:type="spellStart"/>
            <w:r w:rsidRPr="003139B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139B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139B2">
              <w:rPr>
                <w:rFonts w:ascii="Times New Roman" w:hAnsi="Times New Roman"/>
                <w:sz w:val="24"/>
                <w:szCs w:val="24"/>
              </w:rPr>
              <w:t>анцура</w:t>
            </w:r>
            <w:proofErr w:type="spellEnd"/>
            <w:r w:rsidRPr="003139B2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маренко» Дербентского сельского пос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ления на сумму 420,8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на р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монт автодороги ««подъезд к поселку Новый Поселкового сельского посел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 xml:space="preserve">ния Тимашевского района» в </w:t>
            </w:r>
            <w:proofErr w:type="spellStart"/>
            <w:r w:rsidRPr="003139B2">
              <w:rPr>
                <w:rFonts w:ascii="Times New Roman" w:hAnsi="Times New Roman"/>
                <w:sz w:val="24"/>
                <w:szCs w:val="24"/>
              </w:rPr>
              <w:t>асфальто</w:t>
            </w:r>
            <w:proofErr w:type="spellEnd"/>
            <w:r w:rsidRPr="003139B2">
              <w:rPr>
                <w:rFonts w:ascii="Times New Roman" w:hAnsi="Times New Roman"/>
                <w:sz w:val="24"/>
                <w:szCs w:val="24"/>
              </w:rPr>
              <w:t>-бетонном исполнении на сумму 492,9 тыс. руб. и в гравийном исполнении на сумму 440,7 тыс. руб.</w:t>
            </w:r>
          </w:p>
          <w:p w:rsidR="00574553" w:rsidRPr="00330BA7" w:rsidRDefault="00574553" w:rsidP="00B204CC">
            <w:pPr>
              <w:tabs>
                <w:tab w:val="left" w:pos="567"/>
                <w:tab w:val="left" w:pos="709"/>
                <w:tab w:val="left" w:pos="851"/>
              </w:tabs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39B2">
              <w:rPr>
                <w:rFonts w:ascii="Times New Roman" w:hAnsi="Times New Roman"/>
                <w:sz w:val="24"/>
                <w:szCs w:val="24"/>
              </w:rPr>
              <w:t>Также, в целях изыскания дополн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9B2">
              <w:rPr>
                <w:rFonts w:ascii="Times New Roman" w:hAnsi="Times New Roman"/>
                <w:sz w:val="24"/>
                <w:szCs w:val="24"/>
              </w:rPr>
              <w:t xml:space="preserve">тельных средств из местного бюджета в целях формирования дорожного фонда,  отдел 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строительства администрации муниципального образования Тимаше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в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ский район  инициировал рассмотрение возможности увеличения объема мун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и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ципального дорожного фонда за счет доходов от сдачи в аренду имущества, находящегося  в оперативном управл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нии органов управления муниципал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ь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ных районов и созданных ими учрежд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е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ний (за исключением имущества мун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и</w:t>
            </w:r>
            <w:r w:rsidRPr="00A13353">
              <w:rPr>
                <w:rFonts w:ascii="Times New Roman" w:hAnsi="Times New Roman"/>
                <w:sz w:val="24"/>
                <w:szCs w:val="24"/>
              </w:rPr>
              <w:t>ципальных бюджетных и автономных учреждений</w:t>
            </w:r>
            <w:r w:rsidRPr="003139B2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574553" w:rsidTr="00B305A3">
        <w:trPr>
          <w:trHeight w:val="8929"/>
        </w:trPr>
        <w:tc>
          <w:tcPr>
            <w:tcW w:w="181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4" w:type="pct"/>
          </w:tcPr>
          <w:p w:rsidR="00574553" w:rsidRPr="00013C8B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 w:rsidRPr="00013C8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Производите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proofErr w:type="spellStart"/>
            <w:r w:rsidRPr="00013C8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льность</w:t>
            </w:r>
            <w:proofErr w:type="spellEnd"/>
            <w:proofErr w:type="gramEnd"/>
            <w:r w:rsidRPr="00013C8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труда</w:t>
            </w:r>
          </w:p>
        </w:tc>
        <w:tc>
          <w:tcPr>
            <w:tcW w:w="1102" w:type="pct"/>
            <w:vMerge w:val="restart"/>
          </w:tcPr>
          <w:p w:rsidR="00574553" w:rsidRPr="00013C8B" w:rsidRDefault="00574553" w:rsidP="00013C8B">
            <w:pPr>
              <w:pStyle w:val="a3"/>
              <w:tabs>
                <w:tab w:val="left" w:pos="503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8B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574553" w:rsidRPr="00013C8B" w:rsidRDefault="00574553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рост производительн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сти труда на средних и кру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предприятиях базовых </w:t>
            </w:r>
            <w:proofErr w:type="spellStart"/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013C8B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экон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мики не ниже 5 процентов в год;</w:t>
            </w:r>
          </w:p>
          <w:p w:rsidR="00574553" w:rsidRPr="00013C8B" w:rsidRDefault="00574553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реализации указанной наци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нальной программы не менее 10 субъектов Российской Ф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дерации ежегодно;</w:t>
            </w:r>
          </w:p>
          <w:p w:rsidR="00574553" w:rsidRPr="00013C8B" w:rsidRDefault="00574553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вовлечение в реализ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цию указанной национальной программы не менее 10 тыс. средних и крупных предпр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 xml:space="preserve">ятий базовых </w:t>
            </w:r>
            <w:proofErr w:type="spellStart"/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013C8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8B">
              <w:rPr>
                <w:rFonts w:ascii="Times New Roman" w:hAnsi="Times New Roman" w:cs="Times New Roman"/>
                <w:sz w:val="24"/>
                <w:szCs w:val="24"/>
              </w:rPr>
              <w:t>раслей экономики;</w:t>
            </w:r>
          </w:p>
          <w:p w:rsidR="00574553" w:rsidRPr="006355AA" w:rsidRDefault="00574553" w:rsidP="00013C8B">
            <w:pPr>
              <w:pStyle w:val="a3"/>
              <w:tabs>
                <w:tab w:val="left" w:pos="503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A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4553" w:rsidRDefault="00574553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стимулирование внедр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ния передовых управленч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ских, организационных и те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нологических решений для повышения производительн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сти труда и модернизации основных фондов, в том числе посредством предоставления налоговых преференций;</w:t>
            </w:r>
          </w:p>
          <w:p w:rsidR="00574553" w:rsidRDefault="00574553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сокращение нормати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но-правовых и администр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тивных ограничений, препя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ствующих росту производ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труда, а также з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мещение устаревших и н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производительных рабочих мест;</w:t>
            </w:r>
          </w:p>
          <w:p w:rsidR="00574553" w:rsidRDefault="00574553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методической и организац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онной поддержки повышения производительности труда на предприятиях;</w:t>
            </w:r>
          </w:p>
          <w:p w:rsidR="00574553" w:rsidRPr="006355AA" w:rsidRDefault="00574553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подготовки кадров, напра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ленной на обучение основам повышения производительн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сти труда, в том числе п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средством использования цифровых технологий и пла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форменных решений.</w:t>
            </w:r>
          </w:p>
          <w:p w:rsidR="00574553" w:rsidRPr="000D7A61" w:rsidRDefault="00574553" w:rsidP="00013C8B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0D7A61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меры по повышению</w:t>
            </w:r>
          </w:p>
          <w:p w:rsidR="00574553" w:rsidRDefault="00574553" w:rsidP="006355AA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роизводительности труда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34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CE3987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6355AA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В 2018 году предприятие ОАО «Кондитерский комбинат «Кубань» прошло отбор для участия в проекте. В 2019 году предприятие приступило к внедрению системы бережливых технологий.</w:t>
            </w:r>
          </w:p>
          <w:p w:rsidR="00574553" w:rsidRPr="006355AA" w:rsidRDefault="00574553" w:rsidP="005217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поддержки повышения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труда на перерабатывающих предприятиях доведена информация о старте программы обучения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кадров «Лидеры 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ности» и «Экспортных акселераторах» (8 предприятиям).</w:t>
            </w:r>
          </w:p>
        </w:tc>
      </w:tr>
      <w:tr w:rsidR="00574553" w:rsidTr="00B305A3">
        <w:trPr>
          <w:trHeight w:val="5806"/>
        </w:trPr>
        <w:tc>
          <w:tcPr>
            <w:tcW w:w="181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0D7A61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7C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D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Pr="00115A1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6355AA" w:rsidRDefault="00574553" w:rsidP="006355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В 1 квартале 2019 года 6 промышле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ным предприятиям района были направлены информационные письма о возможности участия в региональном проекте «Адресная поддержка повыш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ния производительности труда на пре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приятиях». В апреле 2019 года совмес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с министерством экономики Красн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дарского края проведен семинар для по повышению производительности труда с экскурсией на предприятие</w:t>
            </w:r>
            <w:proofErr w:type="gramEnd"/>
            <w:r w:rsidRPr="006355AA">
              <w:rPr>
                <w:rFonts w:ascii="Times New Roman" w:hAnsi="Times New Roman" w:cs="Times New Roman"/>
                <w:sz w:val="24"/>
                <w:szCs w:val="24"/>
              </w:rPr>
              <w:t xml:space="preserve"> ОАО Ко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дитерский комбинат «Кубань».</w:t>
            </w:r>
          </w:p>
          <w:p w:rsidR="00574553" w:rsidRPr="000D7A61" w:rsidRDefault="00574553" w:rsidP="006355AA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AA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</w:t>
            </w:r>
            <w:proofErr w:type="gramStart"/>
            <w:r w:rsidRPr="006355AA">
              <w:rPr>
                <w:rFonts w:ascii="Times New Roman" w:hAnsi="Times New Roman" w:cs="Times New Roman"/>
                <w:sz w:val="24"/>
                <w:szCs w:val="24"/>
              </w:rPr>
              <w:t>предприятий, попадающих под критерий отбора для участия в данном проекте по повышению производительности труда  проведена</w:t>
            </w:r>
            <w:proofErr w:type="gramEnd"/>
            <w:r w:rsidRPr="006355A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разъяснительная работа. На сегодняшний день предприятие ООО «Титан» прошло регистрацию в ФЦК.</w:t>
            </w:r>
          </w:p>
        </w:tc>
      </w:tr>
      <w:tr w:rsidR="00574553" w:rsidTr="00B305A3">
        <w:trPr>
          <w:trHeight w:val="1035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занятости и повышение 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рынка труда для обеспечения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 производительности труда</w:t>
            </w:r>
          </w:p>
          <w:p w:rsidR="00574553" w:rsidRPr="009F559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74553" w:rsidRDefault="00574553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pct"/>
          </w:tcPr>
          <w:p w:rsidR="00B305A3" w:rsidRPr="00B305A3" w:rsidRDefault="00B305A3" w:rsidP="00B305A3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1060F3" w:rsidRPr="00106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соответствии с Указом Президента Российской Федерации от 7 мая 2018 г № 204 «О национальных целях и стратегических задачах развития Российской Федерации на период до 2024 года», постановлением Правительства</w:t>
            </w:r>
            <w:r w:rsidR="001060F3" w:rsidRPr="001060F3">
              <w:rPr>
                <w:rFonts w:ascii="Times New Roman" w:eastAsia="Times New Roman" w:hAnsi="Times New Roman" w:cs="Times New Roman"/>
                <w:color w:val="333333"/>
                <w:sz w:val="32"/>
                <w:szCs w:val="28"/>
              </w:rPr>
              <w:t xml:space="preserve"> </w:t>
            </w:r>
            <w:r w:rsidR="001060F3"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Российской Федерации от 15 апреля 2014 года № 298 «Об утверждении государственной программы Российской Федерации «Содействие занятости</w:t>
            </w:r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населения», </w:t>
            </w:r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тановлением главы администрации </w:t>
            </w:r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(губернатора) Краснодарского края 16 ноября 2015 года № 1036 «Об утверждении государственной</w:t>
            </w:r>
            <w:proofErr w:type="gramEnd"/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программы Краснодарского края «Содействие занятости населения», в соответствии с приказом министерства труда и социального развития Краснодарского края от 29 марта 2019 года № 516 «Об утверждении Порядка и условий переобучения, повышения квалификации работников предприятий в целях поддержки занятости и повышения эффективности рынка труда в рамках регионального проекта «Поддержка занятости и повышение эффективности рынка труда для обеспечения роста производительности труда», утвержден вышеуказанный</w:t>
            </w:r>
            <w:proofErr w:type="gramEnd"/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Порядок, в соответствии с которым: организуется профессиональное обучение работников предприятий, нуждающихся </w:t>
            </w:r>
            <w:r w:rsidRPr="0010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</w:t>
            </w:r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профессиональном обучении, государственным казенным учреждением Краснодарского края «Центром занятости населения Тимашевского района» по программам переподготовки или повышения квалификации в образовательных организациях, в соответствии с заключенными центрами занятости населения договорами.</w:t>
            </w:r>
          </w:p>
          <w:p w:rsidR="001060F3" w:rsidRPr="00B305A3" w:rsidRDefault="001060F3" w:rsidP="001060F3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населения», постановлением главы администрации (губернатора) Краснодарского края 16 ноября 2015 года № 1036 «Об утверждении государственной программы Краснодарского края «Содействие занятости населения», в соответствии с приказом министерства труда и социального развития Краснодарского края от 29 марта 2019 года № 516 «Об утверждении Порядка и условий переобучения, повышения квалификации работников предприятий в целях поддержки занятости и повышения эффективности рынка труда в рамках регионального</w:t>
            </w:r>
            <w:proofErr w:type="gramEnd"/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проекта «Поддержка занятости и повышение эффективности рынка труда для обеспечения роста производительности труда», утвержден вышеуказанный Порядок, в соответствии с которым: организуется профессиональное обучение работников предприятий, нуждающихся </w:t>
            </w:r>
            <w:r w:rsidRPr="001060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</w:t>
            </w:r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профессиональном обучении, государственным казенным учреждением Краснодарского края «Центром занятости населения Тимашевского района» по программам переподготовки или повышения квалификации в образовательных организациях, в соответствии с заключенными центрами занятости </w:t>
            </w:r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населения договорами.</w:t>
            </w:r>
            <w:proofErr w:type="gramEnd"/>
          </w:p>
          <w:p w:rsidR="001060F3" w:rsidRPr="00B305A3" w:rsidRDefault="001060F3" w:rsidP="001060F3">
            <w:pPr>
              <w:widowControl w:val="0"/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5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Средняя стоимость обучения одного работника за один месяц не более 30 тыс. рублей, средний период обучения 2 месяца.</w:t>
            </w:r>
          </w:p>
          <w:p w:rsidR="001060F3" w:rsidRPr="00B305A3" w:rsidRDefault="001060F3" w:rsidP="001060F3">
            <w:pPr>
              <w:widowControl w:val="0"/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Оплата услуг образовательных организаций производится центром занятости населения на основании государственных контрактов, актов приема выполненных работ (оказанных услуг).</w:t>
            </w:r>
          </w:p>
          <w:p w:rsidR="001060F3" w:rsidRPr="00B305A3" w:rsidRDefault="001060F3" w:rsidP="001060F3">
            <w:pPr>
              <w:widowControl w:val="0"/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В соответствии с письмом министерства экономики Краснодарского края от 03.06.2019 № 204-11697/19-222-05 «О предоставлении информации» 50 предприятий прошли регистрацию на сайте «</w:t>
            </w:r>
            <w:proofErr w:type="spellStart"/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производительность</w:t>
            </w:r>
            <w:proofErr w:type="gramStart"/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.р</w:t>
            </w:r>
            <w:proofErr w:type="gramEnd"/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ф</w:t>
            </w:r>
            <w:proofErr w:type="spellEnd"/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», из них 12 предприятий направили </w:t>
            </w:r>
            <w:r w:rsidRPr="001060F3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</w:rPr>
              <w:t xml:space="preserve">в </w:t>
            </w:r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министерство подписанные копии соглашений, с целью участия в национальном проекте «Производительность труда и поддержка занятости», среди</w:t>
            </w:r>
            <w:r w:rsidRPr="001060F3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</w:rPr>
              <w:t xml:space="preserve"> </w:t>
            </w:r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предприятий — потенциальных участников национального проекта ОАО «Кондитерский комбинат Кубань» (Тимашевский район).</w:t>
            </w:r>
          </w:p>
          <w:p w:rsidR="00574553" w:rsidRPr="00B305A3" w:rsidRDefault="001060F3" w:rsidP="00B305A3">
            <w:pPr>
              <w:widowControl w:val="0"/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В связи с </w:t>
            </w:r>
            <w:proofErr w:type="gramStart"/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вышеуказанным</w:t>
            </w:r>
            <w:proofErr w:type="gramEnd"/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 предприятию рекомендовано провести мониторинг потребности переобучения, повышения квалификации работников предприятия в целях поддержки </w:t>
            </w:r>
            <w:r w:rsidRPr="00B305A3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lastRenderedPageBreak/>
              <w:t>занятости и повышения эффективности рынка труда в рамках реализации мероприятий регионального проекта «Адресная поддержка повышения производительности труда на предприятиях».</w:t>
            </w:r>
          </w:p>
        </w:tc>
      </w:tr>
      <w:tr w:rsidR="00574553" w:rsidTr="00B305A3">
        <w:trPr>
          <w:trHeight w:val="420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Бережливый житель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(муниципальный </w:t>
            </w:r>
            <w:proofErr w:type="gramEnd"/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  <w:p w:rsidR="00574553" w:rsidRPr="009F559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E3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FD35E3" w:rsidRDefault="00574553" w:rsidP="001A031E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садов и школ по внедрению бережливости</w:t>
            </w:r>
          </w:p>
        </w:tc>
      </w:tr>
      <w:tr w:rsidR="00574553" w:rsidTr="00B305A3">
        <w:trPr>
          <w:trHeight w:val="345"/>
        </w:trPr>
        <w:tc>
          <w:tcPr>
            <w:tcW w:w="181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23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432523" w:rsidRDefault="00574553" w:rsidP="001A031E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карточка проекта «</w:t>
            </w:r>
            <w:r w:rsidRPr="001A031E">
              <w:rPr>
                <w:rFonts w:ascii="Times New Roman" w:hAnsi="Times New Roman" w:cs="Times New Roman"/>
                <w:sz w:val="24"/>
                <w:szCs w:val="24"/>
              </w:rPr>
              <w:t>Раздельный сбор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планируется проведение  работы с управляющими компаниями по внедрению бережливости в многоквартирных домах района</w:t>
            </w:r>
          </w:p>
        </w:tc>
      </w:tr>
      <w:tr w:rsidR="00574553" w:rsidTr="00B305A3">
        <w:trPr>
          <w:trHeight w:val="849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0D7A61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0D7A61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Бережливый бизнес</w:t>
            </w:r>
          </w:p>
          <w:p w:rsidR="00574553" w:rsidRPr="000D7A61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A61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(муниципальный </w:t>
            </w:r>
            <w:proofErr w:type="gramEnd"/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1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5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1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Pr="00CE3987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D05F1E" w:rsidRDefault="00574553" w:rsidP="00D05F1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2019 года совместно </w:t>
            </w:r>
            <w:proofErr w:type="gramStart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с мин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стерством экономики Краснодарского края проведен семинар для по повыш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нию производительности труда с эк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курсией на предприятие</w:t>
            </w:r>
            <w:proofErr w:type="gramEnd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 xml:space="preserve"> ОАО Конд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терский комбинат «Кубань».</w:t>
            </w:r>
          </w:p>
          <w:p w:rsidR="00574553" w:rsidRPr="00D05F1E" w:rsidRDefault="00574553" w:rsidP="00D05F1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С руководителями предприятий, п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падающих под критерий отбора для участия в данном проекте по повыш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нию производительности труда (2 пр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мышленных предприятия района) пр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ведена разъяснительная работа. На с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годняшний день предприятие ООО «Титан» прошло регистрацию в ФЦК.</w:t>
            </w:r>
          </w:p>
          <w:p w:rsidR="00574553" w:rsidRDefault="00574553" w:rsidP="00D05F1E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 xml:space="preserve">Во 2 полугодии планируется реализация муниципального проекта «Практикум бережливых предприятий», 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которого для руководителей предприятий и организаций, ИП района будут организованы экскурсии на крупные промышленные предприятия района, на которых применяются механизмы бережливых технологий</w:t>
            </w:r>
          </w:p>
          <w:p w:rsidR="00574553" w:rsidRPr="000D7A61" w:rsidRDefault="00574553" w:rsidP="00A47C6A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внедрении системы «Бережливый бизнес»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оведена до сведения 30 хозяйствующих субъектов, ассоциации крестьянских (фермерских) Тимашевского района</w:t>
            </w:r>
          </w:p>
        </w:tc>
      </w:tr>
      <w:tr w:rsidR="00574553" w:rsidTr="00B305A3">
        <w:trPr>
          <w:trHeight w:val="1035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Бережливая администрация</w:t>
            </w:r>
          </w:p>
          <w:p w:rsidR="00574553" w:rsidRPr="009F559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1"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D05F1E" w:rsidRDefault="00574553" w:rsidP="00640735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квартале 2019 г. определено ответственное должностное лицо за реализацию мероприятий по достижению целей и показателей регионального проекта «Бережливая администрация». В ходе реализации мероприятий проведен мониторинг расходования основных ресурсов: электрическая и тепловая энергии, вода и горюче-смазочные материалы. В ходе мониторинга определены направления работы в части экономии указанных ресурсов. В результате проделанной работы удалось сократить расходы горюче-смазочных материалов на 1,8 т в месяц</w:t>
            </w:r>
          </w:p>
        </w:tc>
      </w:tr>
      <w:tr w:rsidR="00574553" w:rsidTr="00B305A3">
        <w:trPr>
          <w:trHeight w:val="420"/>
        </w:trPr>
        <w:tc>
          <w:tcPr>
            <w:tcW w:w="181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74553" w:rsidRPr="00D05F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Pr="00D05F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D05F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D05F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D05F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Скрипиль И.А.</w:t>
            </w:r>
          </w:p>
          <w:p w:rsidR="00574553" w:rsidRPr="00D05F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9A7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Архитектура. Сокращение сроков предоставления разрешения на рекла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конструкции</w:t>
            </w:r>
          </w:p>
          <w:p w:rsidR="00574553" w:rsidRDefault="00574553" w:rsidP="0094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733A99" w:rsidRDefault="00574553" w:rsidP="009A7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администрации муниципального образования Тимаше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ский район на использование отеч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ственного офисного программного обеспечения на период до 2020 года.</w:t>
            </w:r>
          </w:p>
          <w:p w:rsidR="00574553" w:rsidRPr="002F48AC" w:rsidRDefault="00574553" w:rsidP="00945FA6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53" w:rsidTr="00B305A3">
        <w:trPr>
          <w:trHeight w:val="420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учреждения социальной сферы</w:t>
            </w:r>
          </w:p>
          <w:p w:rsidR="00574553" w:rsidRPr="009F559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</w:p>
        </w:tc>
        <w:tc>
          <w:tcPr>
            <w:tcW w:w="661" w:type="pct"/>
          </w:tcPr>
          <w:p w:rsidR="00574553" w:rsidRDefault="00574553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D05F1E" w:rsidRDefault="00574553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Переходя к бережливому произво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ству в здании районной поликлиники оформлены двери кабинетов</w:t>
            </w:r>
            <w:proofErr w:type="gramEnd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лестничные</w:t>
            </w:r>
            <w:proofErr w:type="spellEnd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 xml:space="preserve"> проёмы яркими таблицами с указанием № кабинетов, что облегчает маршрутизацию пациентов. В холле 1 этажа установлено 2 телевизора: один для демонстрации роликов по проф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лактике, второй для электронного ра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писания.</w:t>
            </w:r>
          </w:p>
          <w:p w:rsidR="00574553" w:rsidRPr="00D05F1E" w:rsidRDefault="00574553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В приемном отделении с 22.01.2018 работает администратор, как в пол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клиниках взрослой, детской и женской консультации, которая регулирует п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ток пациентов на госпитализацию или консультацию.</w:t>
            </w:r>
          </w:p>
          <w:p w:rsidR="00574553" w:rsidRPr="00D05F1E" w:rsidRDefault="00574553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Во избежание очередей в регистрат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ре, активирована запись на прием к сп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 xml:space="preserve">циалистам посредством электронной записи (через интернет), посредством </w:t>
            </w:r>
            <w:proofErr w:type="spellStart"/>
            <w:proofErr w:type="gramStart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  <w:proofErr w:type="gramEnd"/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, а так же запись на прием к узким специалистам в день приема от направляющего врача.</w:t>
            </w:r>
          </w:p>
          <w:p w:rsidR="00574553" w:rsidRPr="00D05F1E" w:rsidRDefault="00574553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 xml:space="preserve">С 8 февраля этого года заработала электронная очередь на сдачу анализов в процедурном кабинете (как в краевую 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лабораторию, так и в лабораторию ЦРБ) в лаборатории (общий анализ крови, МОР), в рентген кабинете на мамм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 xml:space="preserve">графию, ЭКГ. </w:t>
            </w:r>
          </w:p>
          <w:p w:rsidR="00574553" w:rsidRPr="00D05F1E" w:rsidRDefault="00574553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Создана фельдшерская бригада для оказания неотложной медицинской п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мощи на дому.</w:t>
            </w:r>
          </w:p>
          <w:p w:rsidR="00574553" w:rsidRPr="00D05F1E" w:rsidRDefault="00574553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В ГБУЗ «Тимашевская ЦРБ» МЗ КК функционирует два кабинета неотло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ной помощи, что значительно разгруж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F1E">
              <w:rPr>
                <w:rFonts w:ascii="Times New Roman" w:hAnsi="Times New Roman" w:cs="Times New Roman"/>
                <w:sz w:val="24"/>
                <w:szCs w:val="24"/>
              </w:rPr>
              <w:t>ет прием врача терапевта, и ускоряет прием пациентов.</w:t>
            </w:r>
          </w:p>
          <w:p w:rsidR="00574553" w:rsidRPr="008370A1" w:rsidRDefault="00574553" w:rsidP="00D05F1E">
            <w:pPr>
              <w:pStyle w:val="a3"/>
              <w:widowControl w:val="0"/>
              <w:suppressAutoHyphens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53" w:rsidTr="00B305A3">
        <w:trPr>
          <w:trHeight w:val="2770"/>
        </w:trPr>
        <w:tc>
          <w:tcPr>
            <w:tcW w:w="181" w:type="pct"/>
            <w:vMerge w:val="restar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4" w:type="pct"/>
            <w:vMerge w:val="restart"/>
          </w:tcPr>
          <w:p w:rsidR="00574553" w:rsidRPr="001A03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03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Цифровая экономика</w:t>
            </w:r>
          </w:p>
        </w:tc>
        <w:tc>
          <w:tcPr>
            <w:tcW w:w="1102" w:type="pct"/>
            <w:vMerge w:val="restart"/>
          </w:tcPr>
          <w:p w:rsidR="00574553" w:rsidRPr="00566608" w:rsidRDefault="00574553" w:rsidP="005666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b/>
                <w:sz w:val="24"/>
                <w:szCs w:val="28"/>
              </w:rPr>
              <w:t>Цели: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увеличение внутре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них затрат на развитие ци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ровой экономики за счет всех источников (по доле в вал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вом внутреннем продукте страны) не менее чем в три раза по сравнению с 2017 г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дом;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создание устойчивой и безопасной информационно-телекоммуникационной и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фраструктуры высокоск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ростной передачи, обработки и хранения больших объемов данных, доступной для всех организаций и домохозяйств;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использование пр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 xml:space="preserve">имущественно отечественного 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программного обеспечения государственными органами, органами местного сам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управления и организациями;</w:t>
            </w:r>
          </w:p>
          <w:p w:rsidR="00574553" w:rsidRPr="00566608" w:rsidRDefault="00574553" w:rsidP="005666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создание системы прав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создание глобальной конкурентоспособной инфр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структуры передачи, обрабо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ки и хранения данных пр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имущественно на основе от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чественных разработок;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обеспечение подготовки высококвалифицированных кадров для цифровой экон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мики;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обеспечение информац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онной безопасности на основе отечественных разработок при передаче, обработке и хранении данных, гарантир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ющей защиту интересов ли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ности, бизнеса и государства;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создание сквозных ци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ровых технологий преимущ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ственно на основе отеч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ственных разработок;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внедрение цифровых технологий и платформенных решений в сферах госуда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ственного управления и ок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зания государственных услуг, в том числе в интересах нас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ления и субъектов малого и среднего предпринимател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ства, включая индивидуал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ных предпринимателей;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преобразование приор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тетных отраслей экономики и социальной сферы, включая здравоохранение, образов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ние, промышленность, сел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ское хозяйство, строител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ство, городское хозяйство, транспортную и энергетич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скую инфраструктуру, фина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совые услуги, посредством внедрения цифровых технол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гий и платформенных реш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ний;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      </w:r>
          </w:p>
          <w:p w:rsidR="00574553" w:rsidRPr="00566608" w:rsidRDefault="00574553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6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      </w: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инфраструктура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CD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215F">
              <w:rPr>
                <w:rFonts w:ascii="Times New Roman" w:hAnsi="Times New Roman" w:cs="Times New Roman"/>
                <w:sz w:val="24"/>
                <w:szCs w:val="24"/>
              </w:rPr>
              <w:t>крипиль И.А.</w:t>
            </w:r>
          </w:p>
          <w:p w:rsidR="00574553" w:rsidRPr="008370A1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F556B7" w:rsidRDefault="00574553" w:rsidP="001A0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Тимашевского района основными поставщиками услуги ш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рокополосного доступа в информац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«И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тернет» оказывают ПАО «Ростелеком» </w:t>
            </w:r>
            <w:proofErr w:type="gram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 «ОСК-Юг». Данными компан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ями охвачено 258 </w:t>
            </w:r>
            <w:proofErr w:type="gram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ма Тимашевского района из 349, что составляет 74%.</w:t>
            </w:r>
          </w:p>
          <w:p w:rsidR="00574553" w:rsidRDefault="00574553" w:rsidP="001A031E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 услуг передачи да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ных на скорости не менее 10 Мбит/</w:t>
            </w:r>
            <w:proofErr w:type="gram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 точках доступа, расположенных в нас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ленных пунктах с численностью от 250 до 500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России запустило программу «Устранение Цифрового Неравенства» со сроком р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ализации на 10 лет. ПАО «Ростелеком» приступил к реализации программы в сельских населенных пунктах.</w:t>
            </w:r>
          </w:p>
          <w:p w:rsidR="00574553" w:rsidRPr="00F76B20" w:rsidRDefault="00574553" w:rsidP="00F76B20">
            <w:pPr>
              <w:pStyle w:val="a3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территорию муниципального обр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 в                  данную программу попало 5 населе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ных пунктов: </w:t>
            </w:r>
            <w:proofErr w:type="spell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. Рашпиль,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Барыбинский</w:t>
            </w:r>
            <w:proofErr w:type="spell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. Красный, </w:t>
            </w:r>
            <w:proofErr w:type="spellStart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5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Дербентский, </w:t>
            </w:r>
            <w:proofErr w:type="spellStart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. Большевик. </w:t>
            </w:r>
          </w:p>
          <w:p w:rsidR="00574553" w:rsidRPr="00F76B20" w:rsidRDefault="00574553" w:rsidP="00F76B20">
            <w:pPr>
              <w:pStyle w:val="a3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F76B20" w:rsidRDefault="00574553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3 июня 2019 года Кубань официально перейдет на «цифру», а жители края п</w:t>
            </w: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лучат возможность бесплатно и в выс</w:t>
            </w: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 качестве смотреть 20 федеральных каналов.</w:t>
            </w:r>
          </w:p>
          <w:p w:rsidR="00574553" w:rsidRPr="00F76B20" w:rsidRDefault="00574553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территории Тимашевского района отсутствуют зоны, не охваченные ци</w:t>
            </w: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ровым эфирным наземным телевещан</w:t>
            </w: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76B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ем.</w:t>
            </w:r>
          </w:p>
          <w:p w:rsidR="00574553" w:rsidRDefault="00574553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В настоящее время завершился повто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 обход, к ходе которого выявлены 88 домовладений, где ос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ществляется прием аналогового эфирн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го телевидения. </w:t>
            </w:r>
            <w:proofErr w:type="gramEnd"/>
          </w:p>
          <w:p w:rsidR="00574553" w:rsidRPr="00F76B20" w:rsidRDefault="00574553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15 апреля 2019 г. на территории Тим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шевского района проведен обучающий семинар по установке и настройке об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рудования для приёма цифрового тел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радиовещания. Всего обучено более 50 человек. В настоящее время исполнено 28 заявок на помощь волонтеров в по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ключении нового приемного оборудов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74553" w:rsidRPr="00F76B20" w:rsidRDefault="00574553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УСЗН </w:t>
            </w:r>
            <w:proofErr w:type="gramStart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 районе из 1500 жителей, получающих 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социальную помощь 336 человек изъявили желание приобр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сти необходимое оборудование и пол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чить единовременную денежную выпл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ту в размере 1000 рублей. В настоящее время специалистами УСЗН в Тимаше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осуществляется прием </w:t>
            </w:r>
            <w:proofErr w:type="gramStart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  <w:proofErr w:type="gramEnd"/>
            <w:r w:rsidRPr="00F76B20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производятся компенсацио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6B20">
              <w:rPr>
                <w:rFonts w:ascii="Times New Roman" w:hAnsi="Times New Roman" w:cs="Times New Roman"/>
                <w:sz w:val="24"/>
                <w:szCs w:val="24"/>
              </w:rPr>
              <w:t>ные выплаты.</w:t>
            </w:r>
          </w:p>
          <w:p w:rsidR="00574553" w:rsidRDefault="00574553" w:rsidP="00F76B20">
            <w:pPr>
              <w:tabs>
                <w:tab w:val="left" w:pos="-109"/>
              </w:tabs>
              <w:ind w:left="-109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ыполнено обследование информац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онных систем в части их соответствия техническим требованиям, предъявля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мым к отечественному офисному пр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граммному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574553" w:rsidRPr="00F572CD" w:rsidRDefault="00574553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роведен анализ программного обесп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чения из Единого реестра российских программ для ЭВМ и БД под потребн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A99">
              <w:rPr>
                <w:rFonts w:ascii="Times New Roman" w:hAnsi="Times New Roman" w:cs="Times New Roman"/>
                <w:sz w:val="24"/>
                <w:szCs w:val="24"/>
              </w:rPr>
              <w:t>сти администрации муниципального образования Тимашевский район.</w:t>
            </w:r>
          </w:p>
        </w:tc>
      </w:tr>
      <w:tr w:rsidR="00574553" w:rsidTr="00B305A3">
        <w:trPr>
          <w:trHeight w:val="330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AA50E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7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Pr="00AA50E5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CE3987" w:rsidRDefault="00574553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рабочих мест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трудников администрации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Тимашевский район на предмет информационной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(обработка персональных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ных).</w:t>
            </w:r>
          </w:p>
        </w:tc>
      </w:tr>
      <w:tr w:rsidR="00574553" w:rsidTr="00B305A3">
        <w:trPr>
          <w:trHeight w:val="345"/>
        </w:trPr>
        <w:tc>
          <w:tcPr>
            <w:tcW w:w="18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AA50E5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7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Pr="00B7102A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2A"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4553" w:rsidRDefault="00574553" w:rsidP="001A031E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электронном виде предоставляются посредством 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(функций) Краснодарского края 54 муниципальные услуги, посредством официального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– 1 услуга. Самыми востребованн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услугами в электронном виде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ются: «Выдача градостроительных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нов», «Выдача разрешения на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тельства», а также услуга социальной направленности: «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Прием заявлений, п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становка на учет и зачисление детей в образовательные организации, реал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зующие основную образовательную программу дошкольного образования (детские сады)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4553" w:rsidRDefault="00574553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предоставляемых услугах размещена на 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Едином портале государственных и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(функций), Пор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 xml:space="preserve"> госуда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(функций) Краснодарского края,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циальном сайте.</w:t>
            </w:r>
          </w:p>
          <w:p w:rsidR="00574553" w:rsidRDefault="00574553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показатель: 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число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представителей </w:t>
            </w:r>
            <w:proofErr w:type="gramStart"/>
            <w:r w:rsidRPr="00CF7774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CF77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CF777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связанной со сферой предпринимательской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-2.</w:t>
            </w:r>
          </w:p>
          <w:p w:rsidR="00574553" w:rsidRDefault="00574553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CE3987" w:rsidRDefault="00574553" w:rsidP="00B7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эффективного решения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ально-значимых вопросов, проведен анализ системы муниципального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ления. По результатам анализа принято решение о необходимости модерниз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автоматических процессов ведения делопроизводства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программного обеспечения. В мае 2019 года открыт проект «Модерн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системы автоматизированного электронного документооборота «СИНКОПА-ДОКУМЕНТ».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мый объем финансирования в 2019 году из средств бюджета муниципального образования Тимашевский район – 360,0 тыс.руб. </w:t>
            </w:r>
          </w:p>
        </w:tc>
      </w:tr>
      <w:tr w:rsidR="00574553" w:rsidTr="00B305A3">
        <w:trPr>
          <w:trHeight w:val="675"/>
        </w:trPr>
        <w:tc>
          <w:tcPr>
            <w:tcW w:w="181" w:type="pct"/>
            <w:vMerge w:val="restar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4" w:type="pct"/>
            <w:vMerge w:val="restart"/>
          </w:tcPr>
          <w:p w:rsidR="00574553" w:rsidRPr="001A031E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A03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Культура</w:t>
            </w:r>
          </w:p>
        </w:tc>
        <w:tc>
          <w:tcPr>
            <w:tcW w:w="1102" w:type="pct"/>
            <w:vMerge w:val="restart"/>
          </w:tcPr>
          <w:p w:rsidR="00574553" w:rsidRPr="00233ED3" w:rsidRDefault="00574553" w:rsidP="00233ED3">
            <w:pPr>
              <w:pStyle w:val="a3"/>
              <w:tabs>
                <w:tab w:val="left" w:pos="361"/>
              </w:tabs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233ED3">
              <w:rPr>
                <w:rFonts w:ascii="Times New Roman" w:hAnsi="Times New Roman"/>
                <w:sz w:val="24"/>
                <w:szCs w:val="24"/>
              </w:rPr>
              <w:t>В сфере культуры обратить особое внимание на необх</w:t>
            </w:r>
            <w:r w:rsidRPr="00233ED3">
              <w:rPr>
                <w:rFonts w:ascii="Times New Roman" w:hAnsi="Times New Roman"/>
                <w:sz w:val="24"/>
                <w:szCs w:val="24"/>
              </w:rPr>
              <w:t>о</w:t>
            </w:r>
            <w:r w:rsidRPr="00233ED3">
              <w:rPr>
                <w:rFonts w:ascii="Times New Roman" w:hAnsi="Times New Roman"/>
                <w:sz w:val="24"/>
                <w:szCs w:val="24"/>
              </w:rPr>
              <w:t>димость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>укрепления российской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идентичности на основе духовно-нравственных и культурных ценностей народов Российской Федер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создания (реконструкции) культурно-образовательных и музейных комплексов, вкл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чающих в себя концертные залы, театральные, музыкал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ные, хореографические и др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гие творческие школы, а та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же выставочные простра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обеспечения детских м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зыкальных, художественных, хореографических школ, уч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лищ и школ искусств необх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димыми инструментами, об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рудованием и материалами;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продвижения талантливой молодежи в сфере музыкал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ного искусства, в том числе посредством создания наци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нального молодежного си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фонического оркестра;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(реконстру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ции) культурно-досуговых организаций клубного типа на территориях сельских посел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ний, развития муниципальных библиотек;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создания виртуальных концертных залов не менее чем в 500 городах Российской Федерации;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условий для п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каза национальных кин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фильмов в кинозалах, расп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ложенных в населенных пунктах с численностью нас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ления до 500 тыс. человек;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подготовки кадров для организаций культуры;</w:t>
            </w:r>
          </w:p>
          <w:p w:rsidR="0057455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модернизации регионал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теа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ров юного зрителя и кукол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ных театров путем их реко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струкции и капитального р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монта;</w:t>
            </w:r>
          </w:p>
          <w:p w:rsidR="00574553" w:rsidRPr="00233ED3" w:rsidRDefault="00574553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поддержки добровол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движений, в том числе в сфере сохранения культу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ного наследия народов Ро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1A1F">
              <w:rPr>
                <w:rFonts w:ascii="Times New Roman" w:hAnsi="Times New Roman" w:cs="Times New Roman"/>
                <w:sz w:val="24"/>
                <w:szCs w:val="24"/>
              </w:rPr>
              <w:t>сийской Федерации.</w:t>
            </w:r>
          </w:p>
        </w:tc>
        <w:tc>
          <w:tcPr>
            <w:tcW w:w="757" w:type="pct"/>
          </w:tcPr>
          <w:p w:rsidR="00574553" w:rsidRPr="009F559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среда</w:t>
            </w:r>
          </w:p>
        </w:tc>
        <w:tc>
          <w:tcPr>
            <w:tcW w:w="661" w:type="pct"/>
          </w:tcPr>
          <w:p w:rsidR="00574553" w:rsidRDefault="00574553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A11A1F" w:rsidRDefault="00574553" w:rsidP="001A031E">
            <w:pPr>
              <w:pStyle w:val="a3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>Утвержден Перечень целевых показ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телей и основных результатов достиж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ния национальных проектов, утве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р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жденных в рамках Указа Президента РФ В.В. Путина от 7 мая 2018 года «О национальных целях и стратегических задачах развития Российской Федер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ции на период до 2024 года» по мун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и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ципальному образованию Тимашевский район в сфере культуры.</w:t>
            </w:r>
          </w:p>
          <w:p w:rsidR="00574553" w:rsidRPr="00A11A1F" w:rsidRDefault="00574553" w:rsidP="001A031E">
            <w:pPr>
              <w:pStyle w:val="a3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>Предусмотрено поэтапное увеличение на 18% числа посещений учреждений культуры, увеличение на 10% числа п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о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сещений библиотек, увеличение на 6 % числа участников клубных формиров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ний, увеличение на 0,13 % числа зрит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лей отечественных фильмов, увелич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ние на 3 % числа обучающихся МБ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У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 xml:space="preserve">ДО. </w:t>
            </w:r>
          </w:p>
          <w:p w:rsidR="00574553" w:rsidRPr="00A11A1F" w:rsidRDefault="00574553" w:rsidP="001A031E">
            <w:pPr>
              <w:pStyle w:val="a3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>По итогам 1 полугодия 2019 года б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у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дет осуществлён мониторинг выполн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 xml:space="preserve">ния целевых показателей, разработаны меры по выполнению запланированной </w:t>
            </w:r>
            <w:r w:rsidRPr="00A11A1F">
              <w:rPr>
                <w:rFonts w:ascii="Times New Roman" w:hAnsi="Times New Roman"/>
                <w:sz w:val="24"/>
                <w:szCs w:val="24"/>
              </w:rPr>
              <w:lastRenderedPageBreak/>
              <w:t>динамики роста.</w:t>
            </w:r>
          </w:p>
        </w:tc>
      </w:tr>
      <w:tr w:rsidR="00574553" w:rsidTr="00B305A3">
        <w:trPr>
          <w:trHeight w:val="1390"/>
        </w:trPr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B2166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6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</w:tc>
        <w:tc>
          <w:tcPr>
            <w:tcW w:w="661" w:type="pct"/>
          </w:tcPr>
          <w:p w:rsidR="00574553" w:rsidRDefault="00574553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1A031E">
            <w:pPr>
              <w:pStyle w:val="a3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 xml:space="preserve">По региональной квоте по центрам </w:t>
            </w:r>
            <w:proofErr w:type="spellStart"/>
            <w:r w:rsidRPr="00A11A1F">
              <w:rPr>
                <w:rFonts w:ascii="Times New Roman" w:hAnsi="Times New Roman"/>
                <w:sz w:val="24"/>
                <w:szCs w:val="24"/>
              </w:rPr>
              <w:t>НОиПК</w:t>
            </w:r>
            <w:proofErr w:type="spellEnd"/>
            <w:r w:rsidRPr="00A11A1F">
              <w:rPr>
                <w:rFonts w:ascii="Times New Roman" w:hAnsi="Times New Roman"/>
                <w:sz w:val="24"/>
                <w:szCs w:val="24"/>
              </w:rPr>
              <w:t xml:space="preserve"> в ФГБОУ ВО «КГИК» на 2019 г. повысят квалификацию 9 человек (в апреле-мае обучились 3 человека).</w:t>
            </w:r>
          </w:p>
          <w:p w:rsidR="00574553" w:rsidRPr="00A11A1F" w:rsidRDefault="00574553" w:rsidP="001A031E">
            <w:pPr>
              <w:pStyle w:val="a3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>За 1 кв. 2019 г. на курсах повышения квалификации по дополнительным профессиональным программам в ГБУКК «КУМЦ» повысили квалифик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цию 15 человек, на краевых семинарах обучено 17 человек.</w:t>
            </w:r>
          </w:p>
        </w:tc>
      </w:tr>
      <w:tr w:rsidR="00574553" w:rsidTr="00B305A3">
        <w:trPr>
          <w:trHeight w:val="195"/>
        </w:trPr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B2166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6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</w:p>
        </w:tc>
        <w:tc>
          <w:tcPr>
            <w:tcW w:w="661" w:type="pct"/>
          </w:tcPr>
          <w:p w:rsidR="00574553" w:rsidRDefault="00574553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D2">
              <w:rPr>
                <w:rFonts w:ascii="Times New Roman" w:hAnsi="Times New Roman" w:cs="Times New Roman"/>
                <w:sz w:val="24"/>
                <w:szCs w:val="24"/>
              </w:rPr>
              <w:t>Мальченко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Pr="00F572CD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A11A1F" w:rsidRDefault="00574553" w:rsidP="001A031E">
            <w:pPr>
              <w:pStyle w:val="a3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>Компьютеризировано и подключено к сети Интернет 18 библиотек (92,8 %). В 2019 г. по краевой программе «Развитие культуры» будет подключена к Инте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р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нету Медведовская библиотека ф.№ 4.</w:t>
            </w:r>
          </w:p>
          <w:p w:rsidR="00574553" w:rsidRPr="00A11A1F" w:rsidRDefault="00574553" w:rsidP="001A031E">
            <w:pPr>
              <w:pStyle w:val="a3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>В культурно-досуговых учреждениях компьютеризировано 64 рабочих места, из них 39 в сельской местности.</w:t>
            </w:r>
          </w:p>
          <w:p w:rsidR="00574553" w:rsidRPr="00A11A1F" w:rsidRDefault="00574553" w:rsidP="001A031E">
            <w:pPr>
              <w:pStyle w:val="a3"/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A1F">
              <w:rPr>
                <w:rFonts w:ascii="Times New Roman" w:hAnsi="Times New Roman"/>
                <w:sz w:val="24"/>
                <w:szCs w:val="24"/>
              </w:rPr>
              <w:t>В 2019 по муниципальной программе муниципального образования Тимаше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в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ский район запланировано приобрет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ние компьютерной станции для моде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р</w:t>
            </w:r>
            <w:r w:rsidRPr="00A11A1F">
              <w:rPr>
                <w:rFonts w:ascii="Times New Roman" w:hAnsi="Times New Roman"/>
                <w:sz w:val="24"/>
                <w:szCs w:val="24"/>
              </w:rPr>
              <w:t>низации рабочего места в МБУК «РОМЦ».</w:t>
            </w:r>
          </w:p>
        </w:tc>
      </w:tr>
      <w:tr w:rsidR="00574553" w:rsidTr="00B305A3">
        <w:trPr>
          <w:trHeight w:val="195"/>
        </w:trPr>
        <w:tc>
          <w:tcPr>
            <w:tcW w:w="181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4" w:type="pct"/>
          </w:tcPr>
          <w:p w:rsidR="00574553" w:rsidRPr="007F20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Малое и среднее </w:t>
            </w:r>
          </w:p>
          <w:p w:rsidR="00574553" w:rsidRPr="007F2062" w:rsidRDefault="00FE49F2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предпринима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ельство</w:t>
            </w:r>
          </w:p>
          <w:p w:rsidR="00574553" w:rsidRPr="007F20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 поддержка </w:t>
            </w:r>
            <w:proofErr w:type="gramStart"/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индивидуал</w:t>
            </w:r>
            <w:r w:rsidR="00FE49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ь</w:t>
            </w:r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ной</w:t>
            </w:r>
            <w:proofErr w:type="gramEnd"/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FE49F2"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предпринима</w:t>
            </w:r>
            <w:r w:rsidR="00FE49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</w:t>
            </w:r>
            <w:r w:rsidR="00FE49F2"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ельской</w:t>
            </w:r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инициативы</w:t>
            </w:r>
          </w:p>
        </w:tc>
        <w:tc>
          <w:tcPr>
            <w:tcW w:w="1102" w:type="pct"/>
            <w:vMerge w:val="restart"/>
          </w:tcPr>
          <w:p w:rsidR="00574553" w:rsidRPr="00EE4B42" w:rsidRDefault="00574553" w:rsidP="00EE4B42">
            <w:pPr>
              <w:pStyle w:val="a3"/>
              <w:widowControl w:val="0"/>
              <w:suppressAutoHyphens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ринимателей, до 25 млн.</w:t>
            </w:r>
          </w:p>
          <w:p w:rsidR="00574553" w:rsidRPr="00EE4B42" w:rsidRDefault="00574553" w:rsidP="00EE4B42">
            <w:pPr>
              <w:pStyle w:val="a3"/>
              <w:widowControl w:val="0"/>
              <w:suppressAutoHyphens/>
              <w:ind w:firstLin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4553" w:rsidRPr="00EE4B42" w:rsidRDefault="00574553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      </w:r>
          </w:p>
          <w:p w:rsidR="00574553" w:rsidRPr="00EE4B42" w:rsidRDefault="00574553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      </w:r>
          </w:p>
          <w:p w:rsidR="00574553" w:rsidRPr="00EE4B42" w:rsidRDefault="00574553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закупок, </w:t>
            </w:r>
            <w:r w:rsidRPr="00E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осуществляемых крупнейшими заказчиками у субъектов малого и среднего предпринимательства, включая индивидуальных предпринимателей;</w:t>
            </w:r>
          </w:p>
          <w:p w:rsidR="00574553" w:rsidRPr="00EE4B42" w:rsidRDefault="00574553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      </w:r>
          </w:p>
          <w:p w:rsidR="00574553" w:rsidRPr="00EE4B42" w:rsidRDefault="00574553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      </w:r>
          </w:p>
          <w:p w:rsidR="00574553" w:rsidRPr="00EE4B42" w:rsidRDefault="00574553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поддержки экспортеров, являющихся субъектами </w:t>
            </w:r>
            <w:r w:rsidRPr="00EE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предпринимательства, включая индивидуальных предпринимателей, увеличение доли таких экспортеров в общем объеме </w:t>
            </w:r>
            <w:proofErr w:type="spellStart"/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EE4B42">
              <w:rPr>
                <w:rFonts w:ascii="Times New Roman" w:hAnsi="Times New Roman" w:cs="Times New Roman"/>
                <w:sz w:val="24"/>
                <w:szCs w:val="24"/>
              </w:rPr>
              <w:t xml:space="preserve"> экспорта не менее чем до 10 процентов;</w:t>
            </w:r>
          </w:p>
          <w:p w:rsidR="00574553" w:rsidRDefault="00574553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кооперации;</w:t>
            </w:r>
          </w:p>
          <w:p w:rsidR="00574553" w:rsidRPr="00EE4B42" w:rsidRDefault="00574553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благоприятных условий осуществления деятельности </w:t>
            </w:r>
            <w:proofErr w:type="spellStart"/>
            <w:r w:rsidRPr="00EE4B42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EE4B4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условий ведения 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  <w:p w:rsidR="00574553" w:rsidRPr="009F5596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C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Стешенко А.Н. 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C417EC" w:rsidRDefault="00574553" w:rsidP="00F76B20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7F2062" w:rsidRDefault="00574553" w:rsidP="00AA1939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 муниципальная програ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ма муниципального образования Тим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шевский район «Создание условий для развития малого и среднего предприним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тельства в муниципальном образовании Тимашевский район» на 2019-2022 годы».</w:t>
            </w:r>
          </w:p>
          <w:p w:rsidR="00574553" w:rsidRPr="007F2062" w:rsidRDefault="00574553" w:rsidP="00AA1939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Программой предусмотрено фина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сирование мероприятий на развитие и поддержку МСП Тимашевского района в 2019 году из районного бюджета в сумме 720 тыс. рублей. </w:t>
            </w:r>
          </w:p>
          <w:p w:rsidR="00574553" w:rsidRPr="007F2062" w:rsidRDefault="00574553" w:rsidP="00AA1939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С апреля 2019 года в г. Тимашевске, в рамках проектного управления, открыт муниципальный центр поддержки пре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принимательства на базе Союза «Тим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шевская торгово-промышленная палата», оказывающий на безвозмездной основе субъектам МСП консультационные усл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ги по вопросам финансового планиров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ния, правового обеспечения, бухгалте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ского учета, заполнения деклараций, и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формационного сопровождения, а также по вопросам маркетингового планиров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ния и др.</w:t>
            </w:r>
          </w:p>
          <w:p w:rsidR="00574553" w:rsidRPr="007F2062" w:rsidRDefault="00574553" w:rsidP="00AA1939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будет оказано не менее 500 консультационных услуг. </w:t>
            </w:r>
          </w:p>
          <w:p w:rsidR="00574553" w:rsidRPr="007F2062" w:rsidRDefault="00574553" w:rsidP="00AA193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По итогам 1 квартала 2019 года к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субъектов малого и среднего 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муниципальном образовании Тимашевский район сост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вило 5070 единиц, что на 21,4 % бол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ше, чем по итогам аналогичного пери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да 2018 года, в том числе средние пре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приятия – 11 единиц, малые предпри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тия: юридические лица - 641 единица, а индивидуальные предприниматели - 4418 единиц.</w:t>
            </w:r>
          </w:p>
          <w:p w:rsidR="00574553" w:rsidRPr="007F2062" w:rsidRDefault="00574553" w:rsidP="00AA193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занятого в малом и среднем предпринимательстве, по итогам 1 квартала 2019 года состав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ла 11990 человек. Доля численности населения, занятого в малом и среднем предпринимательстве, в численности населения, занятого в экономике мун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район, составляет 24,0%.</w:t>
            </w:r>
          </w:p>
          <w:p w:rsidR="00574553" w:rsidRPr="007F2062" w:rsidRDefault="00574553" w:rsidP="00AA193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по итогам 1 квартала 2019 года составил 9808,9 млн. рублей, что на 5,1 % больше аналоги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ного периода прошлого года.</w:t>
            </w:r>
          </w:p>
          <w:p w:rsidR="00574553" w:rsidRDefault="00574553" w:rsidP="00AA1939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тал субъектов малого и среднего пре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принимательства по итогам 1 квартала 2019 года вырос на 2,2 % к аналогичн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062">
              <w:rPr>
                <w:rFonts w:ascii="Times New Roman" w:hAnsi="Times New Roman" w:cs="Times New Roman"/>
                <w:sz w:val="24"/>
                <w:szCs w:val="24"/>
              </w:rPr>
              <w:t>му периоду прошлого года, составив 238,7 млн. рублей.</w:t>
            </w:r>
          </w:p>
          <w:p w:rsidR="00574553" w:rsidRDefault="00574553" w:rsidP="00AA1939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6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м</w:t>
            </w:r>
            <w:r w:rsidRPr="00E156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566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</w:t>
            </w:r>
            <w:r w:rsidRPr="00E15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район от 9 октября 2018 г. № 1162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 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муниципального имущества муниципального образов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Тимашевский район свободного от прав третьих лиц (за исключением имущественных прав субъектов малого и среднего предпринимательства и о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ганизациям, образующим инфрастру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туру поддержки субъектам малого и среднего предпринимательства)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(ранее 2 объекта).</w:t>
            </w:r>
          </w:p>
          <w:p w:rsidR="00574553" w:rsidRDefault="00574553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настоящий момент перечень вкл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чает 4 объекта недвижимого имущества.</w:t>
            </w:r>
          </w:p>
          <w:p w:rsidR="00574553" w:rsidRPr="00E15661" w:rsidRDefault="00574553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61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Тимашевским городским поселением Тимашевского района также утвержден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и содержит в себе 735 объе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недвижимого имущества.</w:t>
            </w:r>
          </w:p>
          <w:p w:rsidR="00574553" w:rsidRPr="00E15661" w:rsidRDefault="00574553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Дербентским сельским поселением Тимашевского района также утвержден соответствующий перечень и содержит в себе 3 объекта недвижимого имущ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  <w:p w:rsidR="00574553" w:rsidRPr="00F76B20" w:rsidRDefault="00574553" w:rsidP="00F76B20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сельскими</w:t>
            </w:r>
            <w:proofErr w:type="gramEnd"/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поселениям Тимашевск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5661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перечни муниципального имущества не утверждены.</w:t>
            </w:r>
          </w:p>
        </w:tc>
      </w:tr>
      <w:tr w:rsidR="00574553" w:rsidTr="00B305A3">
        <w:trPr>
          <w:trHeight w:val="1416"/>
        </w:trPr>
        <w:tc>
          <w:tcPr>
            <w:tcW w:w="18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C6506D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D">
              <w:rPr>
                <w:rFonts w:ascii="Times New Roman" w:hAnsi="Times New Roman" w:cs="Times New Roman"/>
                <w:sz w:val="24"/>
                <w:szCs w:val="24"/>
              </w:rPr>
              <w:t>Расширение доступа субъектов малого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06D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r w:rsidRPr="00C6506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C6506D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D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поддержке, в том числе 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DF">
              <w:rPr>
                <w:rFonts w:ascii="Times New Roman" w:hAnsi="Times New Roman" w:cs="Times New Roman"/>
                <w:sz w:val="24"/>
                <w:szCs w:val="24"/>
              </w:rPr>
              <w:t xml:space="preserve">к льготному 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DF">
              <w:rPr>
                <w:rFonts w:ascii="Times New Roman" w:hAnsi="Times New Roman" w:cs="Times New Roman"/>
                <w:sz w:val="24"/>
                <w:szCs w:val="24"/>
              </w:rPr>
              <w:t>финансированию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DF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r w:rsidRPr="0059127C">
              <w:rPr>
                <w:rFonts w:ascii="Times New Roman" w:hAnsi="Times New Roman" w:cs="Times New Roman"/>
                <w:sz w:val="24"/>
                <w:szCs w:val="24"/>
              </w:rPr>
              <w:t>омлинов В.В.</w:t>
            </w:r>
          </w:p>
          <w:p w:rsidR="00574553" w:rsidRPr="00CE3987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643AC1" w:rsidRDefault="00574553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проводятся консультации субъектов малого и сре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 по вопросу получения финансовой поддержки п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средством оказания услуг унитарными некоммерческими организациями «Фонд развития бизнеса Краснодарск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го края» и «Фонд микрофинансиров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ния субъектов малого и среднего пре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принимательства Краснодарского края» (более 50 человек получили консульт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 xml:space="preserve">ции). </w:t>
            </w:r>
          </w:p>
          <w:p w:rsidR="00574553" w:rsidRPr="00643AC1" w:rsidRDefault="00574553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Информация о мерах финансовой поддержки,  в том числе льготном ф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нансировании регулярно доводится до сведения малых форм хозяйствования. Специалистами управления сельского хозяйства была разработана брошюра с указанием существующих мер госуда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ственной поддержки (500 экз.)  и розд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на субъектам МФХ в рамках, провод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мых сходов граждан.</w:t>
            </w:r>
          </w:p>
          <w:p w:rsidR="00574553" w:rsidRPr="00643AC1" w:rsidRDefault="00574553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За 5 месяцев 2019 года Фондом ми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 xml:space="preserve">рофинансирования выдано 9 займов предпринимателям района на сумму 26,3 млн. рублей. </w:t>
            </w:r>
          </w:p>
          <w:p w:rsidR="00574553" w:rsidRPr="00643AC1" w:rsidRDefault="00574553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В Фонде развития бизнеса предпр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нимателями района получено 2 поруч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тельства на сумму 2,8 млн. рублей, что обеспечило привлечение кредитных средств на сумму 6,3 млн. рублей.</w:t>
            </w:r>
          </w:p>
          <w:p w:rsidR="00574553" w:rsidRPr="00643AC1" w:rsidRDefault="00574553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мерах финансовой 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поддержки,  в том числе льготном ф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нансировании регулярно доводится до сведения малых форм хозяйствования. Была разработана брошюра с указанием существующих мер государственной поддержки (500 экз.)  и роздана субъе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там МФХ в рамках, проводимых сходов граждан.</w:t>
            </w:r>
          </w:p>
          <w:p w:rsidR="00574553" w:rsidRPr="00643AC1" w:rsidRDefault="00574553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Подано 39 заявлений на приобрет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ние технологического оборудования, производства реализованной продукции животноводства (молоко, мясо) и стр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ительства теплиц.</w:t>
            </w:r>
          </w:p>
          <w:p w:rsidR="00574553" w:rsidRPr="00643AC1" w:rsidRDefault="00574553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По итогам 1 квартала 2019 года пр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информированы более 80 представит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лей малых форм хозяйствования о м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рах государственной поддержки сел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3AC1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скохозяйственного производства и условиях ее предоставления. 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Программа «Начинающий фермер» популярна среди фермеров Тимаше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района. 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с 2012 по 2018 год </w:t>
            </w:r>
            <w:proofErr w:type="gramStart"/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чены</w:t>
            </w:r>
            <w:proofErr w:type="gramEnd"/>
            <w:r w:rsidRPr="00D34E21">
              <w:rPr>
                <w:rFonts w:ascii="Times New Roman" w:hAnsi="Times New Roman" w:cs="Times New Roman"/>
                <w:sz w:val="24"/>
                <w:szCs w:val="24"/>
              </w:rPr>
              <w:t xml:space="preserve"> 8 грантов на поддержку начина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щих фермеров (животноводство и пт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 xml:space="preserve">цеводство). 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оказание мер государственной поддержки МФХ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району в 2019 году будет 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 xml:space="preserve">доведена сумма 11 900 тыс.руб. 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С 22 марта 2019 года начался прием документов.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По состоянию на 24 мая 2019 года в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делено из бюджета Краснодарского края на</w:t>
            </w: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оказание мер государственной поддержки МФХ</w:t>
            </w:r>
            <w:r w:rsidRPr="00D34E21">
              <w:rPr>
                <w:rFonts w:ascii="Times New Roman" w:hAnsi="Times New Roman" w:cs="Times New Roman"/>
                <w:sz w:val="24"/>
                <w:szCs w:val="24"/>
              </w:rPr>
              <w:t xml:space="preserve">-  8 263,6 тыс.руб. 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По состоянию на 27 мая 2019 года всего п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ринято 116 заявлений на получ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ния субсидий, на общую сумму 6 820,5 тыс. руб. в том числе: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молоко 482,4 тонн на сумму 964,7 тыс. руб. – 43 пакетов документов;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мясо 140,7  тонн на сумму 703,4 тыс. руб. – 56 пакетов документов;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строительство теплиц 11 тыс. кв. м на сумму  3 556,8 тыс. руб. - 8 пакетов д</w:t>
            </w: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кументов;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оборудование 7 единицы 103,3 тыс. руб. - 5 пакетов документов;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приобретение молодняка  птицы 100 голов на сумму 10 тыс. руб. - 1 пакет документов;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приобретение КРС (нетелей) 20 голов на сумму 1393,8 тыс. руб. - 1 пакет д</w:t>
            </w: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кументов;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системы орошения 1 ед. на сумму 88,5 тыс. руб. - 1 пакет документов.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Из всех принятых пакетов документов 1 отказ на сумму 27,1 тыс.руб. по пр</w:t>
            </w: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чине снижения поголовья на дату предоставления пакета документов.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E21">
              <w:rPr>
                <w:rFonts w:ascii="Times New Roman" w:eastAsia="Times New Roman" w:hAnsi="Times New Roman"/>
                <w:sz w:val="24"/>
                <w:szCs w:val="24"/>
              </w:rPr>
              <w:t>Общая сумма выплат составляет 6 779,2 тыс. руб.</w:t>
            </w:r>
          </w:p>
          <w:p w:rsidR="00574553" w:rsidRDefault="00574553" w:rsidP="0024103A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21">
              <w:rPr>
                <w:rFonts w:ascii="Times New Roman" w:hAnsi="Times New Roman"/>
                <w:sz w:val="24"/>
                <w:szCs w:val="24"/>
              </w:rPr>
              <w:t>На отчетную дату на рассмотрении находятся 3 пакета документов на су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м</w:t>
            </w:r>
            <w:r w:rsidRPr="00D34E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41,4 тыс. руб. на получение </w:t>
            </w:r>
            <w:proofErr w:type="gramStart"/>
            <w:r w:rsidRPr="00D34E21">
              <w:rPr>
                <w:rFonts w:ascii="Times New Roman" w:hAnsi="Times New Roman"/>
                <w:sz w:val="24"/>
                <w:szCs w:val="24"/>
              </w:rPr>
              <w:t>субс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дий</w:t>
            </w:r>
            <w:proofErr w:type="gramEnd"/>
            <w:r w:rsidRPr="00D34E21">
              <w:rPr>
                <w:rFonts w:ascii="Times New Roman" w:hAnsi="Times New Roman"/>
                <w:sz w:val="24"/>
                <w:szCs w:val="24"/>
              </w:rPr>
              <w:t xml:space="preserve"> на мясо. </w:t>
            </w:r>
          </w:p>
          <w:p w:rsidR="00574553" w:rsidRPr="00D34E21" w:rsidRDefault="00574553" w:rsidP="0024103A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21">
              <w:rPr>
                <w:rFonts w:ascii="Times New Roman" w:hAnsi="Times New Roman"/>
                <w:sz w:val="24"/>
                <w:szCs w:val="24"/>
              </w:rPr>
              <w:t>Остаток денежных средств, для при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ма пакетов документов от потенциал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>ь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proofErr w:type="spellStart"/>
            <w:r w:rsidRPr="00D34E21">
              <w:rPr>
                <w:rFonts w:ascii="Times New Roman" w:hAnsi="Times New Roman"/>
                <w:sz w:val="24"/>
                <w:szCs w:val="24"/>
              </w:rPr>
              <w:t>субсидиантов</w:t>
            </w:r>
            <w:proofErr w:type="spellEnd"/>
            <w:r w:rsidRPr="00D34E21">
              <w:rPr>
                <w:rFonts w:ascii="Times New Roman" w:hAnsi="Times New Roman"/>
                <w:sz w:val="24"/>
                <w:szCs w:val="24"/>
              </w:rPr>
              <w:t xml:space="preserve"> по состоянию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D34E21">
              <w:rPr>
                <w:rFonts w:ascii="Times New Roman" w:hAnsi="Times New Roman"/>
                <w:sz w:val="24"/>
                <w:szCs w:val="24"/>
              </w:rPr>
              <w:t xml:space="preserve"> 27.05.2019 составляет 1 443,1 тыс. руб.</w:t>
            </w:r>
          </w:p>
          <w:p w:rsidR="00574553" w:rsidRPr="00D34E21" w:rsidRDefault="00574553" w:rsidP="00D34E21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53" w:rsidTr="00B305A3">
        <w:tc>
          <w:tcPr>
            <w:tcW w:w="181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поддержки фермерства 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развитие сельскохозяйственной кооперации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C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Default="00574553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 в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создан и в настоящее время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ществляет свою деятельность </w:t>
            </w:r>
            <w:r w:rsidRPr="00883EA2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Pr="00883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EA2">
              <w:rPr>
                <w:rFonts w:ascii="Times New Roman" w:hAnsi="Times New Roman" w:cs="Times New Roman"/>
                <w:sz w:val="24"/>
                <w:szCs w:val="24"/>
              </w:rPr>
              <w:t>хозяйственный потребительский пер</w:t>
            </w:r>
            <w:r w:rsidRPr="00883E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EA2">
              <w:rPr>
                <w:rFonts w:ascii="Times New Roman" w:hAnsi="Times New Roman" w:cs="Times New Roman"/>
                <w:sz w:val="24"/>
                <w:szCs w:val="24"/>
              </w:rPr>
              <w:t>рабатывающий сбытовой кооператив «Эталон»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2">
              <w:rPr>
                <w:rFonts w:ascii="Times New Roman" w:hAnsi="Times New Roman" w:cs="Times New Roman"/>
                <w:sz w:val="24"/>
                <w:szCs w:val="24"/>
              </w:rPr>
              <w:t>В целях создан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ия сельскохозяйстве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 xml:space="preserve">ных потребительских кооперативов на территории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10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 xml:space="preserve"> встреч с сельхозтоваропроизв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дителями;</w:t>
            </w:r>
          </w:p>
          <w:p w:rsidR="00574553" w:rsidRDefault="00574553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организованном районном Центре по консультированию создания сел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скохозяйственных потребительских к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30 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граждан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образцы документов для осуществления кооперативной деятел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553" w:rsidRPr="00F80B8E" w:rsidRDefault="00574553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Подано 39 заявлений </w:t>
            </w:r>
            <w:r w:rsidRPr="0095544A">
              <w:rPr>
                <w:rFonts w:ascii="Times New Roman" w:hAnsi="Times New Roman" w:cs="Times New Roman"/>
                <w:sz w:val="24"/>
                <w:szCs w:val="24"/>
              </w:rPr>
              <w:t>на приобретения технологического оборудования, прои</w:t>
            </w:r>
            <w:r w:rsidRPr="009554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544A">
              <w:rPr>
                <w:rFonts w:ascii="Times New Roman" w:hAnsi="Times New Roman" w:cs="Times New Roman"/>
                <w:sz w:val="24"/>
                <w:szCs w:val="24"/>
              </w:rPr>
              <w:t>водства реализованной продукции ж</w:t>
            </w:r>
            <w:r w:rsidRPr="00955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4A">
              <w:rPr>
                <w:rFonts w:ascii="Times New Roman" w:hAnsi="Times New Roman" w:cs="Times New Roman"/>
                <w:sz w:val="24"/>
                <w:szCs w:val="24"/>
              </w:rPr>
              <w:t>вотноводства (молоко, мясо) и стро</w:t>
            </w:r>
            <w:r w:rsidRPr="00955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4A">
              <w:rPr>
                <w:rFonts w:ascii="Times New Roman" w:hAnsi="Times New Roman" w:cs="Times New Roman"/>
                <w:sz w:val="24"/>
                <w:szCs w:val="24"/>
              </w:rPr>
              <w:t>тельства теплиц;</w:t>
            </w:r>
          </w:p>
          <w:p w:rsidR="00574553" w:rsidRPr="001D265A" w:rsidRDefault="00574553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итогам 1 квартала 2019 года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информированы более 80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малых форм хозяйствования 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рах государственной поддержки сел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производства и условиях ее предоставления, в том чи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ле направленной на развитие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животноводческих ферм, 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стемы сельскохозяйственной потреб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 кооперации и по начинающ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фермеру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размещения инфо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мации на официальном сайте админ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 Тимашевский район и сайтах посел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ний, в средствах массовой информации, на</w:t>
            </w:r>
            <w:proofErr w:type="gramEnd"/>
            <w:r w:rsidRPr="00D0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стендах сельских поселений, на п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селенческих собраниях и заседаниях советов фермерских хозяйств, на ра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онных отраслевых совещаниях,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дах граждан в поселениях, на отчетных собраниях глав поселений по итогам работы за год, на проводимых районных обучающих семинарах и других мер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приятиях путем раздачи брошюр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мяток, подготовленных на основе оф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5A9">
              <w:rPr>
                <w:rFonts w:ascii="Times New Roman" w:hAnsi="Times New Roman" w:cs="Times New Roman"/>
                <w:sz w:val="24"/>
                <w:szCs w:val="24"/>
              </w:rPr>
              <w:t>циальных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  <w:proofErr w:type="gramEnd"/>
          </w:p>
          <w:p w:rsidR="00574553" w:rsidRPr="0059127C" w:rsidRDefault="00574553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53" w:rsidTr="00B305A3">
        <w:tc>
          <w:tcPr>
            <w:tcW w:w="181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Акселерация субъектов малого 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F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Скрипиль. И.А. 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536CC8" w:rsidRDefault="00574553" w:rsidP="0053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По итогам 1 квартала 2019 года колич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ство субъектов малого и среднего пре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принимательства в муниципальном о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разовании Тимашевский район состав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 xml:space="preserve">ло 5070 единиц, что на 21,4 % больше, чем по итогам аналогичного периода 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года, в том числе средние пре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приятия – 11 единиц, малые предпри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тия: юридические лица - 641 единица, а индивидуальные предприниматели - 4418 единиц.</w:t>
            </w:r>
          </w:p>
          <w:p w:rsidR="00574553" w:rsidRPr="00536CC8" w:rsidRDefault="00574553" w:rsidP="00536CC8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занятого в малом и среднем предпринимательстве, по итогам 1 квартала 2019 года состав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ла 11990 человек. Доля численности населения, занятого в малом и среднем предпринимательстве, в численности населения, занятого в экономике мун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район, составляет 24,0%.</w:t>
            </w:r>
          </w:p>
          <w:p w:rsidR="00574553" w:rsidRPr="00536CC8" w:rsidRDefault="00574553" w:rsidP="00536CC8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по итогам 1 квартала 2019 года составил 9808,9 млн. рублей, что на 5,1 % больше аналоги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ного периода прошлого года.</w:t>
            </w:r>
          </w:p>
          <w:p w:rsidR="00574553" w:rsidRDefault="00574553" w:rsidP="00536CC8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 по итогам 1 квартала 2019 года вырос на 2,2 % к аналогичному периоду прошлого года, составив 238,7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53" w:rsidRDefault="00574553" w:rsidP="00536CC8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0F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 мерам государственной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ряд фермерских хозяйств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личили площади по выращиванию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закрытого грунта в 2-3 раза:</w:t>
            </w:r>
          </w:p>
          <w:p w:rsidR="00574553" w:rsidRDefault="00574553" w:rsidP="000F1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ИП глава КФХ Долгополова С.К. до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74553" w:rsidRDefault="00574553" w:rsidP="000F1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до 10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74553" w:rsidRPr="0059127C" w:rsidRDefault="00574553" w:rsidP="000F1CF8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ИП глава КФХ Плотников С.М. – до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553" w:rsidTr="00B305A3">
        <w:tc>
          <w:tcPr>
            <w:tcW w:w="181" w:type="pct"/>
            <w:vMerge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B2166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66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D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C6506D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574553" w:rsidRPr="009F559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предприним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тельства на территории Тимашевского района в 1 квартале 2019 года:</w:t>
            </w:r>
          </w:p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- проведено 1 заседание Совета по предпринимательству в состав, котор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го входят органы власти, субъекты м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лого и среднего бизнеса, представители общественных организаций и Тимаше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ской торгово-промышленной палаты; </w:t>
            </w:r>
          </w:p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- опубликовано 17 статей в районных газетах по вопросам развития малого и среднего предпринимательства;</w:t>
            </w:r>
          </w:p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- размещено на официальном сайте муниципального образования Тимаше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ский район http://www.timregion.ru 29 информационных материалов по вопр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сам развития малого и среднего пре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принимательства;</w:t>
            </w:r>
          </w:p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- работают телефоны «горячей л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нии», по которым можно получить и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формацию по вопросам организации предпринимательской деятельности, о мерах государственной и муниципал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ной поддержки субъектов бизнеса, по защите прав субъектов предприним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тельства;</w:t>
            </w:r>
          </w:p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- отделом по делам молодежи пров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дено 5 мероприятий (презентации, круглые столы, беседы, лектории, о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крытые уроки) с учащимися образов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тельных учреждений по основам пре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принимательства. В мероприятиях пр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няло участие более 230 человек;</w:t>
            </w:r>
          </w:p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- проведено 12 совещаний, 12 фина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совых ярмарок, 2 семинара для субъе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тов МСП.</w:t>
            </w:r>
          </w:p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проводено</w:t>
            </w:r>
            <w:proofErr w:type="spellEnd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 xml:space="preserve"> 8 кустовых собраний кр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стьянских (фермерских) хозяйств (по поселениям) и общие районные собр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ния крестьянских (фермерских) х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зяйств;</w:t>
            </w:r>
          </w:p>
          <w:p w:rsidR="00574553" w:rsidRPr="00A76D4B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 xml:space="preserve">- 50 </w:t>
            </w:r>
            <w:proofErr w:type="spellStart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сельзхозтоваропроизводителей</w:t>
            </w:r>
            <w:proofErr w:type="spellEnd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консультации </w:t>
            </w:r>
            <w:proofErr w:type="gramStart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организай</w:t>
            </w:r>
            <w:proofErr w:type="spellEnd"/>
          </w:p>
          <w:p w:rsidR="00574553" w:rsidRPr="0089732A" w:rsidRDefault="00574553" w:rsidP="00A76D4B">
            <w:pPr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на стендах в администрациях пос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D4B">
              <w:rPr>
                <w:rFonts w:ascii="Times New Roman" w:hAnsi="Times New Roman" w:cs="Times New Roman"/>
                <w:sz w:val="24"/>
                <w:szCs w:val="24"/>
              </w:rPr>
              <w:t>лений размещена информация о мерах господдержки по данному направлению в количестве</w:t>
            </w:r>
            <w:proofErr w:type="gramEnd"/>
            <w:r w:rsidRPr="00A76D4B">
              <w:rPr>
                <w:rFonts w:ascii="Times New Roman" w:hAnsi="Times New Roman" w:cs="Times New Roman"/>
                <w:sz w:val="24"/>
                <w:szCs w:val="24"/>
              </w:rPr>
              <w:t xml:space="preserve"> 120 шт.</w:t>
            </w:r>
          </w:p>
          <w:p w:rsidR="00574553" w:rsidRPr="00B21666" w:rsidRDefault="00574553" w:rsidP="0021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53" w:rsidTr="00B305A3">
        <w:tc>
          <w:tcPr>
            <w:tcW w:w="181" w:type="pct"/>
            <w:vMerge w:val="restar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4" w:type="pct"/>
            <w:vMerge w:val="restart"/>
          </w:tcPr>
          <w:p w:rsidR="00574553" w:rsidRPr="0052176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52176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Международ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r w:rsidRPr="0052176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ная</w:t>
            </w:r>
            <w:proofErr w:type="spellEnd"/>
            <w:proofErr w:type="gramEnd"/>
            <w:r w:rsidRPr="0052176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кооперация и экспорт</w:t>
            </w:r>
          </w:p>
        </w:tc>
        <w:tc>
          <w:tcPr>
            <w:tcW w:w="1102" w:type="pct"/>
            <w:vMerge w:val="restart"/>
          </w:tcPr>
          <w:p w:rsidR="00574553" w:rsidRPr="0052176C" w:rsidRDefault="00574553" w:rsidP="005217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574553" w:rsidRDefault="00574553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формирование в обраб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тывающей промышленности, сельском хозяйстве, сфере 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глобальных конкуре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тоспособных </w:t>
            </w:r>
            <w:proofErr w:type="spellStart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торов, общая доля экспорта товаров (работ, услуг) кот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рых составит не менее 20 процентов валового внутре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него продукта страны;</w:t>
            </w:r>
          </w:p>
          <w:p w:rsidR="00574553" w:rsidRDefault="00574553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достижение объема эк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порта (в стоимостном выр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жении) </w:t>
            </w:r>
            <w:proofErr w:type="spellStart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 неэнерг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тических товаров в размере 250 млрд. долларов США в год, в том числе продукции машиностроения - 50 млрд. долларов США в год и пр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дукции агропромышленного комплекса - 45 млрд. долларов США в год, а также объема экспорта оказываемых услуг в размере 100 млрд. долларов США в год;</w:t>
            </w:r>
            <w:proofErr w:type="gramEnd"/>
          </w:p>
          <w:p w:rsidR="00574553" w:rsidRPr="0052176C" w:rsidRDefault="00574553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формирование эффе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дарствами - членами Союза не менее чем в полтора раза и обеспечения роста объема накопленных взаимных инв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стиций в полтора раза;</w:t>
            </w:r>
          </w:p>
          <w:p w:rsidR="00574553" w:rsidRPr="0052176C" w:rsidRDefault="00574553" w:rsidP="0052176C">
            <w:pPr>
              <w:pStyle w:val="a3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74553" w:rsidRDefault="00574553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ориентация промы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ленной, аграрной и торговой политики, включая примен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емые механизмы госуда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ственной поддержки, на д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стижение международной конкурентоспособности ро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сийских товаров (работ, услуг) в целях обеспечения их присутствия на внешних ры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ках;</w:t>
            </w:r>
          </w:p>
          <w:p w:rsidR="00574553" w:rsidRDefault="00574553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сокращение админ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и барь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тов международной торговли с контролирующими орган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ми по принципу "одного 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на";</w:t>
            </w:r>
          </w:p>
          <w:p w:rsidR="00574553" w:rsidRDefault="00574553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завершение создания гибкой линейки финансовых инструментов поддержки эк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порта (к 2021 году), включая расширенное </w:t>
            </w:r>
            <w:proofErr w:type="spellStart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предэкспортное</w:t>
            </w:r>
            <w:proofErr w:type="spellEnd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, экспортное и акционерное 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финансирование, лизинг и долгосрочные меры поддер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574553" w:rsidRDefault="00574553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устранение логистич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ских ограничений при экспо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те товаров с использованием железнодорожного, автом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бильного и морского тран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порта, а также строительство (модернизация) пунктов пр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пуска через государственную границу Российской Федер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574553" w:rsidRDefault="00574553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мы институтов продвижения экспорта, предусматрива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щей модернизацию торговых представительств Российской Федерации за рубежом;</w:t>
            </w:r>
          </w:p>
          <w:p w:rsidR="00574553" w:rsidRPr="0052176C" w:rsidRDefault="00574553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ния в рамках Евразийского экономического союза общих рынков товаров, услуг, кап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тала и рабочей силы, включая окончательное устранение барьеров, ограничений и 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мену изъятий в экономич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ском сотрудничестве, при 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новременном активном и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пользовании механизмов со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местной проектной деятел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Экспорт продукции </w:t>
            </w:r>
          </w:p>
          <w:p w:rsidR="00574553" w:rsidRPr="009F5596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96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574553" w:rsidRPr="00C417EC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9F5596" w:rsidRDefault="00574553" w:rsidP="000F1CF8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квартале 2019 года не осуществлялось производство экспортно-ориентированной продукц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реализации.</w:t>
            </w:r>
          </w:p>
        </w:tc>
      </w:tr>
      <w:tr w:rsidR="00574553" w:rsidTr="00B305A3">
        <w:trPr>
          <w:trHeight w:val="3864"/>
        </w:trPr>
        <w:tc>
          <w:tcPr>
            <w:tcW w:w="181" w:type="pct"/>
            <w:vMerge/>
            <w:tcBorders>
              <w:bottom w:val="single" w:sz="4" w:space="0" w:color="auto"/>
            </w:tcBorders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74553" w:rsidRPr="0080215F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F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</w:t>
            </w: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кооперации и экспорта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F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574553" w:rsidRPr="00CB054F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3C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574553" w:rsidRPr="00CB054F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574553" w:rsidRPr="0052176C" w:rsidRDefault="00574553" w:rsidP="0052176C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квартале 2019 года проведен 1 семинар для </w:t>
            </w:r>
            <w:proofErr w:type="spellStart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ных предприятий.</w:t>
            </w:r>
          </w:p>
          <w:p w:rsidR="00574553" w:rsidRPr="0052176C" w:rsidRDefault="00574553" w:rsidP="0052176C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В марте 2019 года на Совете по пр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мышленности с участием представителя АО «Российский экспортный центр» был рассмотрен вопрос о мерах по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держки предприятий-экспортеров.</w:t>
            </w:r>
          </w:p>
          <w:p w:rsidR="00574553" w:rsidRPr="0080215F" w:rsidRDefault="00574553" w:rsidP="0052176C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2019 года на выездном совещании с участием АО «Российский экспортный центр» на ОАО КК «Кубань» был рассмотрен вопрос о мерах поддержки </w:t>
            </w:r>
            <w:proofErr w:type="spellStart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2176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предприятий</w:t>
            </w:r>
          </w:p>
        </w:tc>
      </w:tr>
      <w:tr w:rsidR="00574553" w:rsidTr="00B305A3">
        <w:tc>
          <w:tcPr>
            <w:tcW w:w="181" w:type="pct"/>
          </w:tcPr>
          <w:p w:rsidR="00574553" w:rsidRPr="00C417E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4" w:type="pct"/>
          </w:tcPr>
          <w:p w:rsidR="00574553" w:rsidRPr="0052176C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52176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Ведомствен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r w:rsidRPr="0052176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ный</w:t>
            </w:r>
            <w:proofErr w:type="spellEnd"/>
            <w:proofErr w:type="gramEnd"/>
            <w:r w:rsidRPr="0052176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проект</w:t>
            </w:r>
          </w:p>
        </w:tc>
        <w:tc>
          <w:tcPr>
            <w:tcW w:w="1102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80215F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город</w:t>
            </w:r>
          </w:p>
        </w:tc>
        <w:tc>
          <w:tcPr>
            <w:tcW w:w="661" w:type="pct"/>
          </w:tcPr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F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574553" w:rsidRDefault="00574553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53" w:rsidRPr="0080215F" w:rsidRDefault="00574553" w:rsidP="00074B73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0C5E61" w:rsidRDefault="00574553" w:rsidP="00074B73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краем внедрение информационной системы обеспечения градостроительной деятельности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в МО</w:t>
            </w:r>
          </w:p>
        </w:tc>
      </w:tr>
    </w:tbl>
    <w:p w:rsidR="0077410B" w:rsidRPr="00CB054F" w:rsidRDefault="0077410B" w:rsidP="00CB054F">
      <w:pPr>
        <w:pStyle w:val="a3"/>
        <w:jc w:val="both"/>
        <w:rPr>
          <w:rFonts w:ascii="Times New Roman" w:hAnsi="Times New Roman" w:cs="Times New Roman"/>
          <w:b/>
          <w:i/>
        </w:rPr>
      </w:pPr>
    </w:p>
    <w:sectPr w:rsidR="0077410B" w:rsidRPr="00CB054F" w:rsidSect="00C70476">
      <w:headerReference w:type="default" r:id="rId10"/>
      <w:headerReference w:type="first" r:id="rId11"/>
      <w:pgSz w:w="16838" w:h="11906" w:orient="landscape"/>
      <w:pgMar w:top="567" w:right="1134" w:bottom="851" w:left="1134" w:header="709" w:footer="1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67" w:rsidRDefault="00B45B67" w:rsidP="00BD3AEF">
      <w:pPr>
        <w:spacing w:after="0" w:line="240" w:lineRule="auto"/>
      </w:pPr>
      <w:r>
        <w:separator/>
      </w:r>
    </w:p>
  </w:endnote>
  <w:endnote w:type="continuationSeparator" w:id="0">
    <w:p w:rsidR="00B45B67" w:rsidRDefault="00B45B67" w:rsidP="00BD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67" w:rsidRDefault="00B45B67" w:rsidP="00BD3AEF">
      <w:pPr>
        <w:spacing w:after="0" w:line="240" w:lineRule="auto"/>
      </w:pPr>
      <w:r>
        <w:separator/>
      </w:r>
    </w:p>
  </w:footnote>
  <w:footnote w:type="continuationSeparator" w:id="0">
    <w:p w:rsidR="00B45B67" w:rsidRDefault="00B45B67" w:rsidP="00BD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FA" w:rsidRDefault="00B64C2D">
    <w:pPr>
      <w:pStyle w:val="a5"/>
    </w:pPr>
    <w:r>
      <w:rPr>
        <w:rFonts w:ascii="Times New Roman" w:hAnsi="Times New Roman" w:cs="Times New Roman"/>
        <w:noProof/>
        <w:sz w:val="28"/>
        <w:szCs w:val="28"/>
      </w:rPr>
      <w:pict>
        <v:rect id="Прямоугольник 4" o:spid="_x0000_s2050" style="position:absolute;margin-left:8.85pt;margin-top:214.2pt;width:43pt;height:34.5pt;z-index:251661312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08mgIAAP4EAAAOAAAAZHJzL2Uyb0RvYy54bWysVNuO0zAQfUfiHyy/d3PB7TZR09VeKEJa&#10;YKWFD3Adp7FI7GC7TVcICYlXJD6Bj+AFcdlvSP+IsdOWLvCAEHlwPPZ4fGbOGU9O1nWFVlwboWSG&#10;o6MQIy6ZyoVcZPjF89lgjJGxVOa0UpJn+IYbfDK9f2/SNimPVamqnGsEQaRJ2ybDpbVNGgSGlbym&#10;5kg1XMJmoXRNLZh6EeSathC9roI4DEdBq3TeaMW4MbB60W/iqY9fFJzZZ0VhuEVVhgGb9aP249yN&#10;wXRC04WmTSnYFgb9BxQ1FRIu3Ye6oJaipRa/haoF08qowh4xVQeqKATjPgfIJgp/yea6pA33uUBx&#10;TLMvk/l/YdnT1ZVGIs9wjJGkNVDUfdy83XzovnW3m3fdp+62+7p5333vPndfEHH1ahuTwrHr5kq7&#10;jE1zqdhLg6Q6L6lc8FOtVVtymgPKyPkHdw44w8BRNG+fqByuo0urfOnWha5dQCgKWnuGbvYM8bVF&#10;DBaHZBSFwCODLfJgHA09gwFNd4cbbewjrmrkJhnWIAAfnK4ujXVgaLpz8eBVJfKZqCpv6MX8vNJo&#10;RUEsM/95/JDjoRtggVjugEPlSX6dRDEJz+JkMBuNjwdkRoaD5DgcD8IoOUtGIUnIxeyNAxKRtBR5&#10;zuWlkHwnuIj8HaFb6fdS8ZJDbYaTYTz0Od5BaQ6TCf33p2RqYaH/KlFneLx3oqnj76HMfXdYKqp+&#10;HtyF76sJNdj9fVU8247gXih2PV9vNTNX+Q3wrhXwAhTCowETN2LUQgNm2LxaUs0xqh5L0E4SEeI6&#10;1htkeByDoQ935oc7VLJSQV9DsH56bvsuXzZaLEq4KfI1kuoU9FYIrwWnxR7VVqXQZD6Z7YPguvjQ&#10;9l4/n63pDwAAAP//AwBQSwMEFAAGAAgAAAAhAB7YHsngAAAACgEAAA8AAABkcnMvZG93bnJldi54&#10;bWxMj8FOwzAQRO9I/IO1SNyoQ4lIG+JUFQIkqgqppa04bmOTBOx1FLtt+Hu2JzjO7NPsTDEbnBVH&#10;04fWk4LbUQLCUOV1S7WCzfvzzQREiEgarSej4McEmJWXFwXm2p9oZY7rWAsOoZCjgibGLpcyVI1x&#10;GEa+M8S3T987jCz7WuoeTxzurBwnyb102BJ/aLAzj42pvtcHp6DF3fD2tXiKq+XixX7Md7aavm6V&#10;ur4a5g8gohniHwzn+lwdSu609wfSQVjWWcakgnQ8SUGcgeSOnT070ywFWRby/4TyFwAA//8DAFBL&#10;AQItABQABgAIAAAAIQC2gziS/gAAAOEBAAATAAAAAAAAAAAAAAAAAAAAAABbQ29udGVudF9UeXBl&#10;c10ueG1sUEsBAi0AFAAGAAgAAAAhADj9If/WAAAAlAEAAAsAAAAAAAAAAAAAAAAALwEAAF9yZWxz&#10;Ly5yZWxzUEsBAi0AFAAGAAgAAAAhAC+pjTyaAgAA/gQAAA4AAAAAAAAAAAAAAAAALgIAAGRycy9l&#10;Mm9Eb2MueG1sUEsBAi0AFAAGAAgAAAAhAB7YHsngAAAACgEAAA8AAAAAAAAAAAAAAAAA9AQAAGRy&#10;cy9kb3ducmV2LnhtbFBLBQYAAAAABAAEAPMAAAABBgAAAAA=&#10;" o:allowincell="f" stroked="f">
          <v:textbox style="layout-flow:vertical;mso-next-textbox:#Прямоугольник 4">
            <w:txbxContent>
              <w:p w:rsidR="00A823FA" w:rsidRPr="00290970" w:rsidRDefault="00A823FA" w:rsidP="00236CC3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begin"/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instrText>PAGE   \* MERGEFORMAT</w:instrText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separate"/>
                </w:r>
                <w:r w:rsidR="00B64C2D" w:rsidRPr="00B64C2D">
                  <w:rPr>
                    <w:rFonts w:ascii="Times New Roman" w:hAnsi="Times New Roman"/>
                    <w:noProof/>
                    <w:sz w:val="24"/>
                    <w:szCs w:val="28"/>
                  </w:rPr>
                  <w:t>63</w:t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893430"/>
      <w:docPartObj>
        <w:docPartGallery w:val="Page Numbers (Margins)"/>
        <w:docPartUnique/>
      </w:docPartObj>
    </w:sdtPr>
    <w:sdtEndPr/>
    <w:sdtContent>
      <w:p w:rsidR="00A823FA" w:rsidRDefault="00B64C2D">
        <w:pPr>
          <w:pStyle w:val="a5"/>
          <w:jc w:val="right"/>
        </w:pPr>
        <w:r>
          <w:rPr>
            <w:noProof/>
          </w:rPr>
          <w:pict>
            <v:rect id="_x0000_s2049" style="position:absolute;left:0;text-align:left;margin-left:-63.7pt;margin-top:0;width:44.9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x7nwIAAAcFAAAOAAAAZHJzL2Uyb0RvYy54bWysVMtu1DAU3SPxD5b30zyaTCdRMxVtGYRU&#10;oFLhAzyJM7FI7GB7JlMQEhJbJD6Bj2CDePQbMn/E9Z1Hp8ACIbJIfGP7+Nx7zvXxybKpyYJrI5TM&#10;aHDgU8JlrgohZxl98XwyGFFiLJMFq5XkGb3mhp6M79877tqUh6pSdcE1ARBp0q7NaGVtm3qeySve&#10;MHOgWi5hslS6YRZCPfMKzTpAb2ov9P2h1yldtFrl3Bj4e76epGPEL0ue22dlabgldUaBm8W3xvfU&#10;vb3xMUtnmrWVyDc02D+waJiQcOgO6pxZRuZa/AbViFwro0p7kKvGU2Upco45QDaB/0s2VxVrOeYC&#10;xTHtrkzm/8HmTxeXmogio3EUUyJZAyL1n1bvVh/77/3N6n3/ub/pv60+9D/6L/1XErmKda1JYeNV&#10;e6ldzqa9UPlLQ6Q6q5ic8Qdaq67irACegVvv3dngAgNbybR7ogo4js2twuItS904QCgLWaJG1zuN&#10;+NKSHH7GR354CErmMHUYJvEwxhNYut3camMfcdUQN8ioBgsgOFtcGOvIsHS7BMmrWhQTUdcY6Nn0&#10;rNZkwcAuE3w26GZ/GXABLLfBsUKZ3yRBGPmnYTKYDEdHg2gSxYPkyB8N/CA5TYZ+lETnk7eOSBCl&#10;lSgKLi+E5FvLBdHfSbox/9osaDrSZTSJwxhzvMPS7Cfj4/OnZBphoQNr0WR0tFvEUqffQ1lgf1gm&#10;6vXYu0sfqwk12H6xKqi2E3htFLucLtFgaAUn/lQV1yC/ViAPKAm3BwwqpV9T0kEnZtS8mjPNKakf&#10;S7BQEkSRa10MovgohEDvz0z3Z5jMASqjlpL18Myu233eajGr4KQASyXVA7BdKdASt6w2ZoVuw5w2&#10;N4Nr5/0YV93eX+OfAAAA//8DAFBLAwQUAAYACAAAACEAULv/q9sAAAADAQAADwAAAGRycy9kb3du&#10;cmV2LnhtbEyPQUvDQBCF74L/YRnBi9hNBaWN2RRRKgVBaBW9brNjEro7G7LTNP33TnvRy4PhDe99&#10;r1iMwasB+9RGMjCdZKCQquhaqg18fixvZ6ASW3LWR0IDR0ywKC8vCpu7eKA1DhuulYRQyq2BhrnL&#10;tU5Vg8GmSeyQxPuJfbAsZ19r19uDhAev77LsQQfbkjQ0tsPnBqvdZh8M7L4dvw8rHt9W3fImvHz5&#10;9fHVG3N9NT49gmIc+e8ZTviCDqUwbeOeXFLegAzhs4o3m8uKrYH76Rx0Wej/7OUvAAAA//8DAFBL&#10;AQItABQABgAIAAAAIQC2gziS/gAAAOEBAAATAAAAAAAAAAAAAAAAAAAAAABbQ29udGVudF9UeXBl&#10;c10ueG1sUEsBAi0AFAAGAAgAAAAhADj9If/WAAAAlAEAAAsAAAAAAAAAAAAAAAAALwEAAF9yZWxz&#10;Ly5yZWxzUEsBAi0AFAAGAAgAAAAhAEdOLHufAgAABwUAAA4AAAAAAAAAAAAAAAAALgIAAGRycy9l&#10;Mm9Eb2MueG1sUEsBAi0AFAAGAAgAAAAhAFC7/6vbAAAAAwEAAA8AAAAAAAAAAAAAAAAA+QQAAGRy&#10;cy9kb3ducmV2LnhtbFBLBQYAAAAABAAEAPMAAAABBgAAAAA=&#10;" o:allowincell="f" stroked="f">
              <v:textbox style="mso-next-textbox:#_x0000_s2049">
                <w:txbxContent>
                  <w:p w:rsidR="00A823FA" w:rsidRDefault="00A823FA" w:rsidP="005703D7">
                    <w:pPr>
                      <w:pBdr>
                        <w:bottom w:val="single" w:sz="4" w:space="12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p>
    </w:sdtContent>
  </w:sdt>
  <w:p w:rsidR="00A823FA" w:rsidRDefault="00A823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E1B"/>
    <w:multiLevelType w:val="hybridMultilevel"/>
    <w:tmpl w:val="7284C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AD4"/>
    <w:multiLevelType w:val="hybridMultilevel"/>
    <w:tmpl w:val="C6E85D8C"/>
    <w:lvl w:ilvl="0" w:tplc="04A46DDA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0B6B3759"/>
    <w:multiLevelType w:val="hybridMultilevel"/>
    <w:tmpl w:val="6FF2FED2"/>
    <w:lvl w:ilvl="0" w:tplc="166EDBE4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10A377FF"/>
    <w:multiLevelType w:val="hybridMultilevel"/>
    <w:tmpl w:val="058AFDB4"/>
    <w:lvl w:ilvl="0" w:tplc="DC2892EC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>
    <w:nsid w:val="129E720A"/>
    <w:multiLevelType w:val="hybridMultilevel"/>
    <w:tmpl w:val="EE5AB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87A88"/>
    <w:multiLevelType w:val="hybridMultilevel"/>
    <w:tmpl w:val="66BCC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A5A61"/>
    <w:multiLevelType w:val="hybridMultilevel"/>
    <w:tmpl w:val="0D3E6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118A"/>
    <w:multiLevelType w:val="hybridMultilevel"/>
    <w:tmpl w:val="3562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C9"/>
    <w:multiLevelType w:val="hybridMultilevel"/>
    <w:tmpl w:val="AC44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34CE7"/>
    <w:multiLevelType w:val="hybridMultilevel"/>
    <w:tmpl w:val="BE041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6F5"/>
    <w:multiLevelType w:val="hybridMultilevel"/>
    <w:tmpl w:val="C78A7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53D82"/>
    <w:multiLevelType w:val="hybridMultilevel"/>
    <w:tmpl w:val="59AEE624"/>
    <w:lvl w:ilvl="0" w:tplc="81A29D9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>
    <w:nsid w:val="388F0BF7"/>
    <w:multiLevelType w:val="hybridMultilevel"/>
    <w:tmpl w:val="3DA418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3E766C"/>
    <w:multiLevelType w:val="hybridMultilevel"/>
    <w:tmpl w:val="713EED28"/>
    <w:lvl w:ilvl="0" w:tplc="327E5CB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>
    <w:nsid w:val="49807A2A"/>
    <w:multiLevelType w:val="hybridMultilevel"/>
    <w:tmpl w:val="A2E25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34304"/>
    <w:multiLevelType w:val="hybridMultilevel"/>
    <w:tmpl w:val="4A947090"/>
    <w:lvl w:ilvl="0" w:tplc="E1309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717D0D"/>
    <w:multiLevelType w:val="hybridMultilevel"/>
    <w:tmpl w:val="0E983060"/>
    <w:lvl w:ilvl="0" w:tplc="B5180610">
      <w:start w:val="1"/>
      <w:numFmt w:val="decimal"/>
      <w:lvlText w:val="%1)"/>
      <w:lvlJc w:val="left"/>
      <w:pPr>
        <w:ind w:left="53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>
    <w:nsid w:val="72A6120F"/>
    <w:multiLevelType w:val="hybridMultilevel"/>
    <w:tmpl w:val="9F40C0DE"/>
    <w:lvl w:ilvl="0" w:tplc="A58A0DB8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>
    <w:nsid w:val="7A6249E1"/>
    <w:multiLevelType w:val="hybridMultilevel"/>
    <w:tmpl w:val="3582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93A4A"/>
    <w:multiLevelType w:val="hybridMultilevel"/>
    <w:tmpl w:val="5DB2F276"/>
    <w:lvl w:ilvl="0" w:tplc="489852FA">
      <w:start w:val="1"/>
      <w:numFmt w:val="decimal"/>
      <w:lvlText w:val="%1)"/>
      <w:lvlJc w:val="left"/>
      <w:pPr>
        <w:ind w:left="5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0">
    <w:nsid w:val="7BCB63F3"/>
    <w:multiLevelType w:val="hybridMultilevel"/>
    <w:tmpl w:val="3E98C896"/>
    <w:lvl w:ilvl="0" w:tplc="B09E1D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B7C50"/>
    <w:multiLevelType w:val="hybridMultilevel"/>
    <w:tmpl w:val="8B1E9E96"/>
    <w:lvl w:ilvl="0" w:tplc="C014381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6"/>
  </w:num>
  <w:num w:numId="8">
    <w:abstractNumId w:val="21"/>
  </w:num>
  <w:num w:numId="9">
    <w:abstractNumId w:val="19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18"/>
  </w:num>
  <w:num w:numId="15">
    <w:abstractNumId w:val="14"/>
  </w:num>
  <w:num w:numId="16">
    <w:abstractNumId w:val="13"/>
  </w:num>
  <w:num w:numId="17">
    <w:abstractNumId w:val="17"/>
  </w:num>
  <w:num w:numId="18">
    <w:abstractNumId w:val="15"/>
  </w:num>
  <w:num w:numId="19">
    <w:abstractNumId w:val="3"/>
  </w:num>
  <w:num w:numId="20">
    <w:abstractNumId w:val="1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1D4"/>
    <w:rsid w:val="00010315"/>
    <w:rsid w:val="00013C8B"/>
    <w:rsid w:val="000315F1"/>
    <w:rsid w:val="000354E9"/>
    <w:rsid w:val="00035A77"/>
    <w:rsid w:val="00042AED"/>
    <w:rsid w:val="00056B80"/>
    <w:rsid w:val="00056CC8"/>
    <w:rsid w:val="00074B73"/>
    <w:rsid w:val="00083B7F"/>
    <w:rsid w:val="000C5E61"/>
    <w:rsid w:val="000D7A61"/>
    <w:rsid w:val="000F1CF8"/>
    <w:rsid w:val="001060F3"/>
    <w:rsid w:val="001114FA"/>
    <w:rsid w:val="00115A13"/>
    <w:rsid w:val="0012369C"/>
    <w:rsid w:val="001340E2"/>
    <w:rsid w:val="001414BC"/>
    <w:rsid w:val="00163676"/>
    <w:rsid w:val="00181B18"/>
    <w:rsid w:val="001955A6"/>
    <w:rsid w:val="00195787"/>
    <w:rsid w:val="001A031E"/>
    <w:rsid w:val="001C62F8"/>
    <w:rsid w:val="001F5093"/>
    <w:rsid w:val="0021034A"/>
    <w:rsid w:val="002131F5"/>
    <w:rsid w:val="00233ED3"/>
    <w:rsid w:val="00236CC3"/>
    <w:rsid w:val="0024103A"/>
    <w:rsid w:val="00254F7D"/>
    <w:rsid w:val="00290970"/>
    <w:rsid w:val="00293BCE"/>
    <w:rsid w:val="0029597A"/>
    <w:rsid w:val="002A3E6E"/>
    <w:rsid w:val="002F48AC"/>
    <w:rsid w:val="00305EE3"/>
    <w:rsid w:val="00330BA7"/>
    <w:rsid w:val="00331DBF"/>
    <w:rsid w:val="003426AC"/>
    <w:rsid w:val="00360751"/>
    <w:rsid w:val="003770EC"/>
    <w:rsid w:val="003C13A8"/>
    <w:rsid w:val="003C5276"/>
    <w:rsid w:val="003C6C18"/>
    <w:rsid w:val="003E3499"/>
    <w:rsid w:val="003F5ADD"/>
    <w:rsid w:val="00404231"/>
    <w:rsid w:val="0041370F"/>
    <w:rsid w:val="00432523"/>
    <w:rsid w:val="0044423E"/>
    <w:rsid w:val="004807C1"/>
    <w:rsid w:val="0049393A"/>
    <w:rsid w:val="004A25B5"/>
    <w:rsid w:val="004A76EF"/>
    <w:rsid w:val="004B5008"/>
    <w:rsid w:val="004C54D0"/>
    <w:rsid w:val="004D43B8"/>
    <w:rsid w:val="004E46D5"/>
    <w:rsid w:val="0052176C"/>
    <w:rsid w:val="00527389"/>
    <w:rsid w:val="00536CC8"/>
    <w:rsid w:val="00544401"/>
    <w:rsid w:val="005446B6"/>
    <w:rsid w:val="00556915"/>
    <w:rsid w:val="00566608"/>
    <w:rsid w:val="005703D7"/>
    <w:rsid w:val="00574553"/>
    <w:rsid w:val="005A52FA"/>
    <w:rsid w:val="005E4221"/>
    <w:rsid w:val="00605040"/>
    <w:rsid w:val="0062485F"/>
    <w:rsid w:val="006355AA"/>
    <w:rsid w:val="00640735"/>
    <w:rsid w:val="00643AC1"/>
    <w:rsid w:val="0065612D"/>
    <w:rsid w:val="00671BB1"/>
    <w:rsid w:val="00672E0D"/>
    <w:rsid w:val="006735FF"/>
    <w:rsid w:val="006E4BBE"/>
    <w:rsid w:val="006F273C"/>
    <w:rsid w:val="007140FE"/>
    <w:rsid w:val="007163B8"/>
    <w:rsid w:val="007176E2"/>
    <w:rsid w:val="00730A03"/>
    <w:rsid w:val="007473B1"/>
    <w:rsid w:val="0077410B"/>
    <w:rsid w:val="00777C5F"/>
    <w:rsid w:val="007B7740"/>
    <w:rsid w:val="007C4797"/>
    <w:rsid w:val="007C5108"/>
    <w:rsid w:val="007C66D2"/>
    <w:rsid w:val="007D0A23"/>
    <w:rsid w:val="007F12C7"/>
    <w:rsid w:val="007F2062"/>
    <w:rsid w:val="008116B7"/>
    <w:rsid w:val="00833575"/>
    <w:rsid w:val="008454DD"/>
    <w:rsid w:val="00850DCE"/>
    <w:rsid w:val="00852113"/>
    <w:rsid w:val="0086266E"/>
    <w:rsid w:val="00871F4A"/>
    <w:rsid w:val="008C3AAA"/>
    <w:rsid w:val="008E4E58"/>
    <w:rsid w:val="008E661A"/>
    <w:rsid w:val="008F13CB"/>
    <w:rsid w:val="00910DAE"/>
    <w:rsid w:val="00943147"/>
    <w:rsid w:val="00945FA6"/>
    <w:rsid w:val="00954430"/>
    <w:rsid w:val="009A76D8"/>
    <w:rsid w:val="009C1F91"/>
    <w:rsid w:val="009F438E"/>
    <w:rsid w:val="00A11A1F"/>
    <w:rsid w:val="00A1435D"/>
    <w:rsid w:val="00A33118"/>
    <w:rsid w:val="00A334BE"/>
    <w:rsid w:val="00A47C6A"/>
    <w:rsid w:val="00A63A37"/>
    <w:rsid w:val="00A76D4B"/>
    <w:rsid w:val="00A823FA"/>
    <w:rsid w:val="00AA1939"/>
    <w:rsid w:val="00AC11D9"/>
    <w:rsid w:val="00AD0746"/>
    <w:rsid w:val="00AD5D61"/>
    <w:rsid w:val="00AF01F7"/>
    <w:rsid w:val="00B051DF"/>
    <w:rsid w:val="00B204CC"/>
    <w:rsid w:val="00B21666"/>
    <w:rsid w:val="00B22961"/>
    <w:rsid w:val="00B23396"/>
    <w:rsid w:val="00B305A3"/>
    <w:rsid w:val="00B36DDF"/>
    <w:rsid w:val="00B45B67"/>
    <w:rsid w:val="00B60AD4"/>
    <w:rsid w:val="00B64C2D"/>
    <w:rsid w:val="00B7102A"/>
    <w:rsid w:val="00B752FA"/>
    <w:rsid w:val="00BD3AEF"/>
    <w:rsid w:val="00BD3F85"/>
    <w:rsid w:val="00BF0395"/>
    <w:rsid w:val="00C06BCF"/>
    <w:rsid w:val="00C17F89"/>
    <w:rsid w:val="00C233D3"/>
    <w:rsid w:val="00C435B0"/>
    <w:rsid w:val="00C6506D"/>
    <w:rsid w:val="00C70476"/>
    <w:rsid w:val="00C85E7D"/>
    <w:rsid w:val="00C87BB7"/>
    <w:rsid w:val="00C94E60"/>
    <w:rsid w:val="00CA1A6B"/>
    <w:rsid w:val="00CA5053"/>
    <w:rsid w:val="00CB054F"/>
    <w:rsid w:val="00CC324E"/>
    <w:rsid w:val="00CD3C35"/>
    <w:rsid w:val="00CE73B7"/>
    <w:rsid w:val="00CF7F7E"/>
    <w:rsid w:val="00D05F1E"/>
    <w:rsid w:val="00D34E21"/>
    <w:rsid w:val="00D3664E"/>
    <w:rsid w:val="00D76F97"/>
    <w:rsid w:val="00D91536"/>
    <w:rsid w:val="00D91DCE"/>
    <w:rsid w:val="00D967CB"/>
    <w:rsid w:val="00DA0EA1"/>
    <w:rsid w:val="00DB16A6"/>
    <w:rsid w:val="00DB7B9F"/>
    <w:rsid w:val="00DD501C"/>
    <w:rsid w:val="00E0261F"/>
    <w:rsid w:val="00E17ED6"/>
    <w:rsid w:val="00E63E38"/>
    <w:rsid w:val="00E85B4D"/>
    <w:rsid w:val="00EA7230"/>
    <w:rsid w:val="00EC2D26"/>
    <w:rsid w:val="00ED02D1"/>
    <w:rsid w:val="00EE30EA"/>
    <w:rsid w:val="00EE4B42"/>
    <w:rsid w:val="00EE7A98"/>
    <w:rsid w:val="00EF50DE"/>
    <w:rsid w:val="00EF784F"/>
    <w:rsid w:val="00F249D7"/>
    <w:rsid w:val="00F32C82"/>
    <w:rsid w:val="00F531CF"/>
    <w:rsid w:val="00F53211"/>
    <w:rsid w:val="00F572CD"/>
    <w:rsid w:val="00F65372"/>
    <w:rsid w:val="00F70F85"/>
    <w:rsid w:val="00F76B20"/>
    <w:rsid w:val="00F8541F"/>
    <w:rsid w:val="00FA61D4"/>
    <w:rsid w:val="00FD067C"/>
    <w:rsid w:val="00FD35E3"/>
    <w:rsid w:val="00FE48E3"/>
    <w:rsid w:val="00FE49F2"/>
    <w:rsid w:val="00FF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1D4"/>
    <w:pPr>
      <w:spacing w:after="0" w:line="240" w:lineRule="auto"/>
    </w:pPr>
  </w:style>
  <w:style w:type="table" w:styleId="a4">
    <w:name w:val="Table Grid"/>
    <w:basedOn w:val="a1"/>
    <w:uiPriority w:val="59"/>
    <w:rsid w:val="00FA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EF"/>
  </w:style>
  <w:style w:type="paragraph" w:styleId="a7">
    <w:name w:val="footer"/>
    <w:basedOn w:val="a"/>
    <w:link w:val="a8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EF"/>
  </w:style>
  <w:style w:type="paragraph" w:styleId="a9">
    <w:name w:val="Balloon Text"/>
    <w:basedOn w:val="a"/>
    <w:link w:val="aa"/>
    <w:uiPriority w:val="99"/>
    <w:semiHidden/>
    <w:unhideWhenUsed/>
    <w:rsid w:val="003C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C1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E7A98"/>
    <w:pPr>
      <w:widowControl w:val="0"/>
      <w:autoSpaceDE w:val="0"/>
      <w:autoSpaceDN w:val="0"/>
      <w:adjustRightInd w:val="0"/>
      <w:spacing w:after="0" w:line="295" w:lineRule="exact"/>
      <w:ind w:firstLine="6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EE7A98"/>
    <w:pPr>
      <w:widowControl w:val="0"/>
      <w:autoSpaceDE w:val="0"/>
      <w:autoSpaceDN w:val="0"/>
      <w:adjustRightInd w:val="0"/>
      <w:spacing w:after="0" w:line="301" w:lineRule="exact"/>
      <w:ind w:firstLine="53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E7A98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CD3C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C06BC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1D4"/>
    <w:pPr>
      <w:spacing w:after="0" w:line="240" w:lineRule="auto"/>
    </w:pPr>
  </w:style>
  <w:style w:type="table" w:styleId="a4">
    <w:name w:val="Table Grid"/>
    <w:basedOn w:val="a1"/>
    <w:uiPriority w:val="59"/>
    <w:rsid w:val="00FA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EF"/>
  </w:style>
  <w:style w:type="paragraph" w:styleId="a7">
    <w:name w:val="footer"/>
    <w:basedOn w:val="a"/>
    <w:link w:val="a8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EF"/>
  </w:style>
  <w:style w:type="paragraph" w:styleId="a9">
    <w:name w:val="Balloon Text"/>
    <w:basedOn w:val="a"/>
    <w:link w:val="aa"/>
    <w:uiPriority w:val="99"/>
    <w:semiHidden/>
    <w:unhideWhenUsed/>
    <w:rsid w:val="003C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C1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E7A98"/>
    <w:pPr>
      <w:widowControl w:val="0"/>
      <w:autoSpaceDE w:val="0"/>
      <w:autoSpaceDN w:val="0"/>
      <w:adjustRightInd w:val="0"/>
      <w:spacing w:after="0" w:line="295" w:lineRule="exact"/>
      <w:ind w:firstLine="6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EE7A98"/>
    <w:pPr>
      <w:widowControl w:val="0"/>
      <w:autoSpaceDE w:val="0"/>
      <w:autoSpaceDN w:val="0"/>
      <w:adjustRightInd w:val="0"/>
      <w:spacing w:after="0" w:line="301" w:lineRule="exact"/>
      <w:ind w:firstLine="53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E7A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53C72C64E8018F19E967C0F081174923526EF9DBB30AAA0CD2086B08230159F6804BB667279B3409D5F7EA3DCD54227DBB152E34095D74Q3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4CE2-177D-47F5-B99A-3D45C34B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63</Pages>
  <Words>11960</Words>
  <Characters>68174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2019-07-02T08:13:00Z</cp:lastPrinted>
  <dcterms:created xsi:type="dcterms:W3CDTF">2019-05-24T10:39:00Z</dcterms:created>
  <dcterms:modified xsi:type="dcterms:W3CDTF">2019-07-05T05:52:00Z</dcterms:modified>
</cp:coreProperties>
</file>