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B" w:rsidRPr="00BF086E" w:rsidRDefault="002D0B00" w:rsidP="00DC390B">
      <w:pPr>
        <w:ind w:left="4320" w:right="94" w:firstLine="720"/>
        <w:rPr>
          <w:sz w:val="28"/>
          <w:szCs w:val="28"/>
        </w:rPr>
      </w:pPr>
      <w:r w:rsidRPr="00BF086E">
        <w:rPr>
          <w:sz w:val="28"/>
          <w:szCs w:val="28"/>
        </w:rPr>
        <w:t>Н</w:t>
      </w:r>
      <w:r w:rsidR="00DC390B" w:rsidRPr="00BF086E">
        <w:rPr>
          <w:sz w:val="28"/>
          <w:szCs w:val="28"/>
        </w:rPr>
        <w:t>ачальник</w:t>
      </w:r>
      <w:r w:rsidRPr="00BF086E">
        <w:rPr>
          <w:sz w:val="28"/>
          <w:szCs w:val="28"/>
        </w:rPr>
        <w:t>у</w:t>
      </w:r>
      <w:r w:rsidR="00DC390B" w:rsidRPr="00BF086E">
        <w:rPr>
          <w:sz w:val="28"/>
          <w:szCs w:val="28"/>
        </w:rPr>
        <w:t xml:space="preserve"> </w:t>
      </w:r>
      <w:r w:rsidR="009B72A1" w:rsidRPr="00BF086E">
        <w:rPr>
          <w:sz w:val="28"/>
          <w:szCs w:val="28"/>
        </w:rPr>
        <w:t xml:space="preserve">отдела строительства </w:t>
      </w:r>
      <w:r w:rsidR="005535C4" w:rsidRPr="00BF086E">
        <w:rPr>
          <w:sz w:val="28"/>
          <w:szCs w:val="28"/>
        </w:rPr>
        <w:t xml:space="preserve"> </w:t>
      </w:r>
      <w:r w:rsidR="00DC390B" w:rsidRPr="00BF086E">
        <w:rPr>
          <w:sz w:val="28"/>
          <w:szCs w:val="28"/>
        </w:rPr>
        <w:t xml:space="preserve"> </w:t>
      </w:r>
    </w:p>
    <w:p w:rsidR="00DC390B" w:rsidRPr="00BF086E" w:rsidRDefault="00DC390B" w:rsidP="00DC390B">
      <w:pPr>
        <w:ind w:left="4320" w:right="94" w:firstLine="720"/>
        <w:rPr>
          <w:sz w:val="28"/>
          <w:szCs w:val="28"/>
        </w:rPr>
      </w:pPr>
      <w:r w:rsidRPr="00BF086E">
        <w:rPr>
          <w:sz w:val="28"/>
          <w:szCs w:val="28"/>
        </w:rPr>
        <w:t>администрации муниципального</w:t>
      </w:r>
    </w:p>
    <w:p w:rsidR="00DC390B" w:rsidRPr="00BF086E" w:rsidRDefault="00DC390B" w:rsidP="00DC390B">
      <w:pPr>
        <w:ind w:left="4320" w:right="94" w:firstLine="720"/>
        <w:rPr>
          <w:sz w:val="28"/>
          <w:szCs w:val="28"/>
        </w:rPr>
      </w:pPr>
      <w:r w:rsidRPr="00BF086E">
        <w:rPr>
          <w:sz w:val="28"/>
          <w:szCs w:val="28"/>
        </w:rPr>
        <w:t>образования Тимашевский район</w:t>
      </w:r>
    </w:p>
    <w:p w:rsidR="00DC390B" w:rsidRPr="00BF086E" w:rsidRDefault="00DC390B" w:rsidP="00DC390B">
      <w:pPr>
        <w:ind w:left="4320" w:right="94" w:firstLine="720"/>
        <w:rPr>
          <w:sz w:val="28"/>
          <w:szCs w:val="28"/>
        </w:rPr>
      </w:pPr>
    </w:p>
    <w:p w:rsidR="00DC390B" w:rsidRPr="00BF086E" w:rsidRDefault="009B72A1" w:rsidP="00DC390B">
      <w:pPr>
        <w:ind w:left="4320" w:right="94" w:firstLine="720"/>
        <w:rPr>
          <w:sz w:val="28"/>
          <w:szCs w:val="28"/>
        </w:rPr>
      </w:pPr>
      <w:r w:rsidRPr="00BF086E">
        <w:rPr>
          <w:sz w:val="28"/>
          <w:szCs w:val="28"/>
        </w:rPr>
        <w:t>Нестерову А.Н.</w:t>
      </w:r>
    </w:p>
    <w:p w:rsidR="00DC390B" w:rsidRPr="00BF086E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Pr="00BF086E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Pr="00BF086E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BF086E" w:rsidRDefault="00FE0CAC" w:rsidP="003C7975">
      <w:pPr>
        <w:ind w:right="94"/>
        <w:jc w:val="center"/>
        <w:rPr>
          <w:sz w:val="28"/>
          <w:szCs w:val="28"/>
        </w:rPr>
      </w:pPr>
      <w:r w:rsidRPr="00BF086E">
        <w:rPr>
          <w:sz w:val="28"/>
          <w:szCs w:val="28"/>
        </w:rPr>
        <w:t>Заключение</w:t>
      </w:r>
      <w:r w:rsidR="00CB0376" w:rsidRPr="00BF086E">
        <w:rPr>
          <w:sz w:val="28"/>
          <w:szCs w:val="28"/>
        </w:rPr>
        <w:t xml:space="preserve"> №</w:t>
      </w:r>
      <w:r w:rsidR="001E594F" w:rsidRPr="00BF086E">
        <w:rPr>
          <w:sz w:val="28"/>
          <w:szCs w:val="28"/>
        </w:rPr>
        <w:t xml:space="preserve"> </w:t>
      </w:r>
      <w:r w:rsidR="002D1705" w:rsidRPr="00E428A0">
        <w:rPr>
          <w:sz w:val="28"/>
          <w:szCs w:val="28"/>
        </w:rPr>
        <w:t>16</w:t>
      </w:r>
      <w:r w:rsidR="007962BD" w:rsidRPr="00BF086E">
        <w:rPr>
          <w:sz w:val="28"/>
          <w:szCs w:val="28"/>
        </w:rPr>
        <w:t>/</w:t>
      </w:r>
      <w:r w:rsidR="00E428A0">
        <w:rPr>
          <w:sz w:val="28"/>
          <w:szCs w:val="28"/>
        </w:rPr>
        <w:t>227</w:t>
      </w:r>
      <w:r w:rsidR="006D1EDC" w:rsidRPr="00BF086E">
        <w:rPr>
          <w:sz w:val="28"/>
          <w:szCs w:val="28"/>
        </w:rPr>
        <w:t xml:space="preserve"> </w:t>
      </w:r>
      <w:r w:rsidR="00CB0376" w:rsidRPr="00BF086E">
        <w:rPr>
          <w:sz w:val="28"/>
          <w:szCs w:val="28"/>
        </w:rPr>
        <w:t xml:space="preserve">от </w:t>
      </w:r>
      <w:r w:rsidR="003C7975" w:rsidRPr="00BF086E">
        <w:rPr>
          <w:sz w:val="28"/>
          <w:szCs w:val="28"/>
        </w:rPr>
        <w:t>28</w:t>
      </w:r>
      <w:r w:rsidR="007962BD" w:rsidRPr="00BF086E">
        <w:rPr>
          <w:sz w:val="28"/>
          <w:szCs w:val="28"/>
        </w:rPr>
        <w:t xml:space="preserve"> сентября </w:t>
      </w:r>
      <w:r w:rsidR="00CB0376" w:rsidRPr="00BF086E">
        <w:rPr>
          <w:sz w:val="28"/>
          <w:szCs w:val="28"/>
        </w:rPr>
        <w:t>20</w:t>
      </w:r>
      <w:r w:rsidR="00403C6B" w:rsidRPr="00BF086E">
        <w:rPr>
          <w:sz w:val="28"/>
          <w:szCs w:val="28"/>
        </w:rPr>
        <w:t>20</w:t>
      </w:r>
      <w:r w:rsidR="00CB0376" w:rsidRPr="00BF086E">
        <w:rPr>
          <w:sz w:val="28"/>
          <w:szCs w:val="28"/>
        </w:rPr>
        <w:t xml:space="preserve"> г</w:t>
      </w:r>
      <w:r w:rsidR="00403C6B" w:rsidRPr="00BF086E">
        <w:rPr>
          <w:sz w:val="28"/>
          <w:szCs w:val="28"/>
        </w:rPr>
        <w:t>.</w:t>
      </w:r>
    </w:p>
    <w:p w:rsidR="00BF086E" w:rsidRPr="00BF086E" w:rsidRDefault="009158FA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86E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</w:t>
      </w:r>
      <w:r w:rsidR="00FE0CAC" w:rsidRPr="00BF086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086E" w:rsidRPr="00BF086E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BF086E" w:rsidRP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86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86E">
        <w:rPr>
          <w:rFonts w:ascii="Times New Roman" w:hAnsi="Times New Roman" w:cs="Times New Roman"/>
          <w:sz w:val="28"/>
          <w:szCs w:val="28"/>
        </w:rPr>
        <w:t>«О внесении изменений в постановле</w:t>
      </w:r>
      <w:bookmarkStart w:id="0" w:name="_GoBack"/>
      <w:bookmarkEnd w:id="0"/>
      <w:r w:rsidRPr="00BF086E">
        <w:rPr>
          <w:rFonts w:ascii="Times New Roman" w:hAnsi="Times New Roman" w:cs="Times New Roman"/>
          <w:sz w:val="28"/>
          <w:szCs w:val="28"/>
        </w:rPr>
        <w:t xml:space="preserve">ние администрации муниципального </w:t>
      </w:r>
    </w:p>
    <w:p w:rsid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F086E">
        <w:rPr>
          <w:rFonts w:ascii="Times New Roman" w:hAnsi="Times New Roman" w:cs="Times New Roman"/>
          <w:sz w:val="28"/>
          <w:szCs w:val="28"/>
        </w:rPr>
        <w:t>образования Тимашевский район от 27 июня 2019 г. № 668 «</w:t>
      </w:r>
      <w:r w:rsidRPr="00BF086E">
        <w:rPr>
          <w:rFonts w:ascii="Times New Roman" w:hAnsi="Times New Roman" w:cs="Times New Roman"/>
          <w:sz w:val="28"/>
          <w:szCs w:val="28"/>
          <w:lang w:bidi="en-US"/>
        </w:rPr>
        <w:t xml:space="preserve">Об утверждении порядка выдачи согласия в письменной форме владельцем автомобильной </w:t>
      </w:r>
    </w:p>
    <w:p w:rsid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F086E">
        <w:rPr>
          <w:rFonts w:ascii="Times New Roman" w:hAnsi="Times New Roman" w:cs="Times New Roman"/>
          <w:sz w:val="28"/>
          <w:szCs w:val="28"/>
          <w:lang w:bidi="en-US"/>
        </w:rPr>
        <w:t xml:space="preserve">дороги местного значения вне границ населенных пунктов на строительство, реконструкцию, капитальный ремонт, ремонт пересечения автомобильной </w:t>
      </w:r>
    </w:p>
    <w:p w:rsid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F086E">
        <w:rPr>
          <w:rFonts w:ascii="Times New Roman" w:hAnsi="Times New Roman" w:cs="Times New Roman"/>
          <w:sz w:val="28"/>
          <w:szCs w:val="28"/>
          <w:lang w:bidi="en-US"/>
        </w:rPr>
        <w:t xml:space="preserve">дороги местного значения вне границ населенных пунктов с другими </w:t>
      </w:r>
    </w:p>
    <w:p w:rsid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F086E">
        <w:rPr>
          <w:rFonts w:ascii="Times New Roman" w:hAnsi="Times New Roman" w:cs="Times New Roman"/>
          <w:sz w:val="28"/>
          <w:szCs w:val="28"/>
          <w:lang w:bidi="en-US"/>
        </w:rPr>
        <w:t xml:space="preserve">автомобильными дорогами и примыкания автомобильной дороги местного </w:t>
      </w:r>
    </w:p>
    <w:p w:rsidR="00BF086E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F086E">
        <w:rPr>
          <w:rFonts w:ascii="Times New Roman" w:hAnsi="Times New Roman" w:cs="Times New Roman"/>
          <w:sz w:val="28"/>
          <w:szCs w:val="28"/>
          <w:lang w:bidi="en-US"/>
        </w:rPr>
        <w:t>значения вне границ населенных пунктов к другой автомобильной дороге,</w:t>
      </w:r>
    </w:p>
    <w:p w:rsidR="003C7975" w:rsidRPr="0055080A" w:rsidRDefault="00BF086E" w:rsidP="00BF086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F086E">
        <w:rPr>
          <w:rFonts w:ascii="Times New Roman" w:hAnsi="Times New Roman" w:cs="Times New Roman"/>
          <w:sz w:val="28"/>
          <w:szCs w:val="28"/>
          <w:lang w:bidi="en-US"/>
        </w:rPr>
        <w:t xml:space="preserve"> а также перечня документов, необходимых для выдачи такого согласия»</w:t>
      </w:r>
      <w:r w:rsidRPr="00BF086E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</w:p>
    <w:p w:rsidR="00DC390B" w:rsidRPr="0055080A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C7975" w:rsidRPr="0055080A" w:rsidRDefault="003C7975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414DB0" w:rsidRDefault="00991D2E" w:rsidP="000C6BA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4D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414DB0">
        <w:rPr>
          <w:rFonts w:ascii="Times New Roman" w:hAnsi="Times New Roman" w:cs="Times New Roman"/>
          <w:sz w:val="28"/>
          <w:szCs w:val="28"/>
        </w:rPr>
        <w:t>О</w:t>
      </w:r>
      <w:r w:rsidR="00DA5835" w:rsidRPr="00414DB0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414DB0">
        <w:rPr>
          <w:rFonts w:ascii="Times New Roman" w:hAnsi="Times New Roman" w:cs="Times New Roman"/>
          <w:sz w:val="28"/>
          <w:szCs w:val="28"/>
        </w:rPr>
        <w:t>,</w:t>
      </w:r>
      <w:r w:rsidR="00DA5835" w:rsidRPr="00414DB0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14D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414DB0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414DB0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414DB0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14D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414DB0">
        <w:rPr>
          <w:rFonts w:ascii="Times New Roman" w:hAnsi="Times New Roman" w:cs="Times New Roman"/>
          <w:sz w:val="28"/>
          <w:szCs w:val="28"/>
        </w:rPr>
        <w:t>-</w:t>
      </w:r>
      <w:r w:rsidR="00653AEF" w:rsidRPr="00414DB0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414DB0">
        <w:rPr>
          <w:rFonts w:ascii="Times New Roman" w:hAnsi="Times New Roman" w:cs="Times New Roman"/>
          <w:sz w:val="28"/>
          <w:szCs w:val="28"/>
        </w:rPr>
        <w:t>,</w:t>
      </w:r>
      <w:r w:rsidR="00653AEF" w:rsidRPr="00414DB0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414DB0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C6BAB" w:rsidRPr="00414DB0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16B94" w:rsidRPr="00414DB0">
        <w:rPr>
          <w:rFonts w:ascii="Times New Roman" w:hAnsi="Times New Roman" w:cs="Times New Roman"/>
          <w:sz w:val="28"/>
          <w:szCs w:val="28"/>
        </w:rPr>
        <w:t>20</w:t>
      </w:r>
      <w:r w:rsidR="00403C6B" w:rsidRPr="00414DB0">
        <w:rPr>
          <w:rFonts w:ascii="Times New Roman" w:hAnsi="Times New Roman" w:cs="Times New Roman"/>
          <w:sz w:val="28"/>
          <w:szCs w:val="28"/>
        </w:rPr>
        <w:t>20</w:t>
      </w:r>
      <w:r w:rsidR="00516B94" w:rsidRPr="00414DB0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414DB0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414D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14DB0" w:rsidRPr="00414DB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27 июня 2019 г. № 668 «</w:t>
      </w:r>
      <w:r w:rsidR="00414DB0" w:rsidRPr="00414DB0">
        <w:rPr>
          <w:rFonts w:ascii="Times New Roman" w:hAnsi="Times New Roman" w:cs="Times New Roman"/>
          <w:sz w:val="28"/>
          <w:szCs w:val="28"/>
          <w:lang w:bidi="en-US"/>
        </w:rPr>
        <w:t>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</w:t>
      </w:r>
      <w:r w:rsidR="000C6BAB" w:rsidRPr="00414DB0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414DB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14DB0">
        <w:rPr>
          <w:rFonts w:ascii="Times New Roman" w:hAnsi="Times New Roman" w:cs="Times New Roman"/>
          <w:sz w:val="28"/>
          <w:szCs w:val="28"/>
        </w:rPr>
        <w:t>П</w:t>
      </w:r>
      <w:r w:rsidR="00516B94" w:rsidRPr="00414DB0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14DB0">
        <w:rPr>
          <w:rFonts w:ascii="Times New Roman" w:hAnsi="Times New Roman" w:cs="Times New Roman"/>
          <w:sz w:val="28"/>
          <w:szCs w:val="28"/>
        </w:rPr>
        <w:t>)</w:t>
      </w:r>
      <w:r w:rsidR="00710892" w:rsidRPr="00414DB0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414DB0" w:rsidRPr="00414DB0">
        <w:rPr>
          <w:rFonts w:ascii="Times New Roman" w:hAnsi="Times New Roman" w:cs="Times New Roman"/>
          <w:sz w:val="28"/>
          <w:szCs w:val="28"/>
        </w:rPr>
        <w:t xml:space="preserve">отделом строительства </w:t>
      </w:r>
      <w:r w:rsidR="00710892" w:rsidRPr="00414DB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414DB0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14DB0">
        <w:rPr>
          <w:rFonts w:ascii="Times New Roman" w:hAnsi="Times New Roman" w:cs="Times New Roman"/>
          <w:sz w:val="28"/>
          <w:szCs w:val="28"/>
        </w:rPr>
        <w:t>.</w:t>
      </w:r>
    </w:p>
    <w:p w:rsidR="0059550A" w:rsidRPr="00414DB0" w:rsidRDefault="00653AEF" w:rsidP="00653AEF">
      <w:pPr>
        <w:ind w:firstLine="708"/>
        <w:jc w:val="both"/>
        <w:rPr>
          <w:sz w:val="28"/>
          <w:szCs w:val="28"/>
        </w:rPr>
      </w:pPr>
      <w:r w:rsidRPr="00414DB0">
        <w:rPr>
          <w:sz w:val="28"/>
          <w:szCs w:val="28"/>
        </w:rPr>
        <w:t xml:space="preserve">В соответствии с </w:t>
      </w:r>
      <w:r w:rsidR="00F243D7" w:rsidRPr="00414DB0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414DB0">
        <w:rPr>
          <w:sz w:val="28"/>
          <w:szCs w:val="28"/>
        </w:rPr>
        <w:softHyphen/>
        <w:t xml:space="preserve">он, устанавливающих новые или изменяющих </w:t>
      </w:r>
      <w:r w:rsidR="00F243D7" w:rsidRPr="00414DB0">
        <w:rPr>
          <w:sz w:val="28"/>
          <w:szCs w:val="28"/>
        </w:rPr>
        <w:lastRenderedPageBreak/>
        <w:t>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414DB0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414DB0">
        <w:rPr>
          <w:sz w:val="28"/>
          <w:szCs w:val="28"/>
        </w:rPr>
        <w:t>(далее</w:t>
      </w:r>
      <w:r w:rsidR="002768B4" w:rsidRPr="00414DB0">
        <w:rPr>
          <w:sz w:val="28"/>
          <w:szCs w:val="28"/>
        </w:rPr>
        <w:t xml:space="preserve"> – Порядок)</w:t>
      </w:r>
      <w:r w:rsidR="00242F28" w:rsidRPr="00414DB0">
        <w:rPr>
          <w:sz w:val="28"/>
          <w:szCs w:val="28"/>
        </w:rPr>
        <w:t xml:space="preserve"> проект </w:t>
      </w:r>
      <w:r w:rsidR="002768B4" w:rsidRPr="00414DB0">
        <w:rPr>
          <w:sz w:val="28"/>
          <w:szCs w:val="28"/>
        </w:rPr>
        <w:t>подлежит проведению оценк</w:t>
      </w:r>
      <w:r w:rsidR="00813A4F" w:rsidRPr="00414DB0">
        <w:rPr>
          <w:sz w:val="28"/>
          <w:szCs w:val="28"/>
        </w:rPr>
        <w:t>и</w:t>
      </w:r>
      <w:r w:rsidR="002768B4" w:rsidRPr="00414DB0">
        <w:rPr>
          <w:sz w:val="28"/>
          <w:szCs w:val="28"/>
        </w:rPr>
        <w:t xml:space="preserve"> регулирующего воздейс</w:t>
      </w:r>
      <w:r w:rsidR="00813A4F" w:rsidRPr="00414DB0">
        <w:rPr>
          <w:sz w:val="28"/>
          <w:szCs w:val="28"/>
        </w:rPr>
        <w:t>т</w:t>
      </w:r>
      <w:r w:rsidR="002768B4" w:rsidRPr="00414DB0">
        <w:rPr>
          <w:sz w:val="28"/>
          <w:szCs w:val="28"/>
        </w:rPr>
        <w:t>вия.</w:t>
      </w:r>
    </w:p>
    <w:p w:rsidR="00EF5238" w:rsidRPr="00414DB0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DB0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414DB0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14DB0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414DB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14DB0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414DB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14DB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14DB0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14DB0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14DB0">
        <w:rPr>
          <w:rFonts w:eastAsiaTheme="minorEastAsia"/>
          <w:sz w:val="28"/>
          <w:szCs w:val="28"/>
        </w:rPr>
        <w:t xml:space="preserve"> </w:t>
      </w:r>
      <w:r w:rsidRPr="00414DB0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414DB0">
        <w:rPr>
          <w:rFonts w:eastAsiaTheme="minorEastAsia"/>
          <w:sz w:val="28"/>
          <w:szCs w:val="28"/>
        </w:rPr>
        <w:t xml:space="preserve">регулирующим органом </w:t>
      </w:r>
      <w:r w:rsidRPr="00414DB0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823A69" w:rsidRPr="0055080A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414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414DB0">
        <w:rPr>
          <w:rFonts w:ascii="Times New Roman" w:hAnsi="Times New Roman" w:cs="Times New Roman"/>
          <w:sz w:val="28"/>
          <w:szCs w:val="28"/>
        </w:rPr>
        <w:t>Р</w:t>
      </w:r>
      <w:r w:rsidR="00722999" w:rsidRPr="00414DB0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B46743" w:rsidRPr="00414DB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14DB0" w:rsidRPr="00414DB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27 июня 2019 г. № 668 «</w:t>
      </w:r>
      <w:r w:rsidR="00414DB0" w:rsidRPr="00414DB0">
        <w:rPr>
          <w:rFonts w:ascii="Times New Roman" w:hAnsi="Times New Roman" w:cs="Times New Roman"/>
          <w:sz w:val="28"/>
          <w:szCs w:val="28"/>
          <w:lang w:bidi="en-US"/>
        </w:rPr>
        <w:t>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</w:t>
      </w:r>
      <w:r w:rsidR="00414DB0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14DB0" w:rsidRPr="00414DB0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</w:p>
    <w:p w:rsidR="00BD6D89" w:rsidRPr="00BE649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BE649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E649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E649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E649C">
        <w:rPr>
          <w:rFonts w:ascii="Times New Roman" w:hAnsi="Times New Roman" w:cs="Times New Roman"/>
          <w:sz w:val="28"/>
          <w:szCs w:val="28"/>
        </w:rPr>
        <w:t>ой</w:t>
      </w:r>
      <w:r w:rsidR="005A6E6C" w:rsidRPr="00BE649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E649C">
        <w:rPr>
          <w:rFonts w:ascii="Times New Roman" w:hAnsi="Times New Roman" w:cs="Times New Roman"/>
          <w:sz w:val="28"/>
          <w:szCs w:val="28"/>
        </w:rPr>
        <w:t>и</w:t>
      </w:r>
      <w:r w:rsidR="005A6E6C" w:rsidRPr="00BE649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E649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BE6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E649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E649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E649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E649C">
        <w:rPr>
          <w:rFonts w:eastAsiaTheme="minorEastAsia"/>
          <w:sz w:val="28"/>
          <w:szCs w:val="28"/>
        </w:rPr>
        <w:t>основанн</w:t>
      </w:r>
      <w:r w:rsidR="00FC22E3" w:rsidRPr="00BE649C">
        <w:rPr>
          <w:rFonts w:eastAsiaTheme="minorEastAsia"/>
          <w:sz w:val="28"/>
          <w:szCs w:val="28"/>
        </w:rPr>
        <w:t>ого</w:t>
      </w:r>
      <w:r w:rsidRPr="00BE649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BE649C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BE649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BE649C">
        <w:rPr>
          <w:rFonts w:ascii="Times New Roman" w:hAnsi="Times New Roman" w:cs="Times New Roman"/>
          <w:sz w:val="28"/>
          <w:szCs w:val="28"/>
        </w:rPr>
        <w:t>п</w:t>
      </w:r>
      <w:r w:rsidR="00A513C3" w:rsidRPr="00BE649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E649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E649C">
        <w:rPr>
          <w:rFonts w:ascii="Times New Roman" w:hAnsi="Times New Roman" w:cs="Times New Roman"/>
          <w:sz w:val="28"/>
          <w:szCs w:val="28"/>
        </w:rPr>
        <w:t>;</w:t>
      </w:r>
    </w:p>
    <w:p w:rsidR="00BE649C" w:rsidRDefault="00EE5EFA" w:rsidP="00BE64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E649C">
        <w:rPr>
          <w:sz w:val="28"/>
          <w:szCs w:val="28"/>
        </w:rPr>
        <w:t>2</w:t>
      </w:r>
      <w:r w:rsidR="0098698D" w:rsidRPr="00BE649C">
        <w:rPr>
          <w:sz w:val="28"/>
          <w:szCs w:val="28"/>
        </w:rPr>
        <w:t xml:space="preserve">. </w:t>
      </w:r>
      <w:r w:rsidR="00A513C3" w:rsidRPr="00BE649C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BE649C">
        <w:rPr>
          <w:sz w:val="28"/>
          <w:szCs w:val="28"/>
        </w:rPr>
        <w:t>вания:</w:t>
      </w:r>
      <w:r w:rsidR="00F172F2" w:rsidRPr="00BE649C">
        <w:rPr>
          <w:sz w:val="28"/>
          <w:szCs w:val="28"/>
        </w:rPr>
        <w:t xml:space="preserve"> </w:t>
      </w:r>
      <w:r w:rsidR="00BE649C" w:rsidRPr="00A528F6">
        <w:rPr>
          <w:color w:val="auto"/>
          <w:sz w:val="28"/>
          <w:szCs w:val="28"/>
        </w:rPr>
        <w:t>юридические и физические лица, осуществляющие строительство, реконструкцию, капитальный ремонт, ремонт пересечения автомобильной дороги местного значения</w:t>
      </w:r>
      <w:r w:rsidR="00BE649C">
        <w:rPr>
          <w:color w:val="auto"/>
          <w:sz w:val="28"/>
          <w:szCs w:val="28"/>
        </w:rPr>
        <w:t xml:space="preserve"> с другими автомобильными дорогами и примыкания автомобильной дороги местного значения к другой</w:t>
      </w:r>
    </w:p>
    <w:p w:rsidR="00BE649C" w:rsidRDefault="00BE649C" w:rsidP="00BE649C">
      <w:pPr>
        <w:pStyle w:val="Default"/>
        <w:jc w:val="both"/>
      </w:pPr>
      <w:r>
        <w:rPr>
          <w:color w:val="auto"/>
          <w:sz w:val="28"/>
          <w:szCs w:val="28"/>
        </w:rPr>
        <w:t xml:space="preserve">автомобильной дороге. </w:t>
      </w:r>
    </w:p>
    <w:p w:rsidR="00B66716" w:rsidRPr="00BE649C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8698D" w:rsidRPr="00BE649C">
        <w:rPr>
          <w:rFonts w:ascii="Times New Roman" w:hAnsi="Times New Roman"/>
          <w:sz w:val="28"/>
          <w:szCs w:val="28"/>
        </w:rPr>
        <w:t xml:space="preserve"> </w:t>
      </w:r>
      <w:r w:rsidRPr="00BE649C">
        <w:rPr>
          <w:rFonts w:ascii="Times New Roman" w:hAnsi="Times New Roman"/>
          <w:sz w:val="28"/>
          <w:szCs w:val="28"/>
        </w:rPr>
        <w:t xml:space="preserve"> </w:t>
      </w:r>
      <w:r w:rsidR="0098698D" w:rsidRPr="00BE649C">
        <w:rPr>
          <w:rFonts w:ascii="Times New Roman" w:hAnsi="Times New Roman"/>
          <w:sz w:val="28"/>
          <w:szCs w:val="28"/>
        </w:rPr>
        <w:t xml:space="preserve">3. </w:t>
      </w:r>
      <w:r w:rsidR="00B66716" w:rsidRPr="00BE649C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E649C">
        <w:rPr>
          <w:rFonts w:ascii="Times New Roman" w:hAnsi="Times New Roman" w:cs="Times New Roman"/>
          <w:sz w:val="28"/>
          <w:szCs w:val="28"/>
        </w:rPr>
        <w:t>ая</w:t>
      </w:r>
      <w:r w:rsidR="00B66716" w:rsidRPr="00BE649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E649C">
        <w:rPr>
          <w:rFonts w:ascii="Times New Roman" w:hAnsi="Times New Roman" w:cs="Times New Roman"/>
          <w:sz w:val="28"/>
          <w:szCs w:val="28"/>
        </w:rPr>
        <w:t>а</w:t>
      </w:r>
      <w:r w:rsidR="00B66716" w:rsidRPr="00BE649C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BE649C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BE649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E649C">
        <w:rPr>
          <w:rFonts w:ascii="Times New Roman" w:hAnsi="Times New Roman" w:cs="Times New Roman"/>
          <w:sz w:val="28"/>
          <w:szCs w:val="28"/>
        </w:rPr>
        <w:t>цел</w:t>
      </w:r>
      <w:r w:rsidR="00184E7E" w:rsidRPr="00BE649C">
        <w:rPr>
          <w:rFonts w:ascii="Times New Roman" w:hAnsi="Times New Roman" w:cs="Times New Roman"/>
          <w:sz w:val="28"/>
          <w:szCs w:val="28"/>
        </w:rPr>
        <w:t>ь</w:t>
      </w:r>
      <w:r w:rsidR="00B66716" w:rsidRPr="00BE649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E649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BE649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E649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BE649C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BE649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E649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BE649C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BE649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E649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BE649C" w:rsidRDefault="00B661B5" w:rsidP="00BE64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E649C">
        <w:rPr>
          <w:sz w:val="28"/>
          <w:szCs w:val="28"/>
        </w:rPr>
        <w:t>1</w:t>
      </w:r>
      <w:r w:rsidR="00B03A55" w:rsidRPr="00BE649C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BE649C">
        <w:rPr>
          <w:rFonts w:eastAsia="Calibri"/>
          <w:sz w:val="28"/>
          <w:szCs w:val="28"/>
        </w:rPr>
        <w:t xml:space="preserve"> </w:t>
      </w:r>
      <w:r w:rsidR="00BE649C" w:rsidRPr="00BE649C">
        <w:rPr>
          <w:color w:val="auto"/>
          <w:sz w:val="28"/>
          <w:szCs w:val="28"/>
        </w:rPr>
        <w:t>юридические и физические лица, осуществляющие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дороге.</w:t>
      </w:r>
      <w:r w:rsidR="00BE649C">
        <w:rPr>
          <w:color w:val="auto"/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BE649C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E649C">
        <w:rPr>
          <w:rFonts w:ascii="Times New Roman" w:hAnsi="Times New Roman" w:cs="Times New Roman"/>
          <w:sz w:val="28"/>
          <w:szCs w:val="28"/>
        </w:rPr>
        <w:t>:</w:t>
      </w:r>
    </w:p>
    <w:p w:rsidR="00BE649C" w:rsidRPr="00AA4884" w:rsidRDefault="00BE649C" w:rsidP="00BE649C">
      <w:pPr>
        <w:ind w:firstLine="709"/>
        <w:jc w:val="both"/>
        <w:rPr>
          <w:sz w:val="28"/>
          <w:szCs w:val="28"/>
        </w:rPr>
      </w:pPr>
      <w:r w:rsidRPr="00AA4884">
        <w:rPr>
          <w:sz w:val="28"/>
          <w:szCs w:val="28"/>
        </w:rPr>
        <w:t xml:space="preserve">Внесение изменений в постановление администрации муниципального образования Тимашевский район от 27 июня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 согласно заключению о проведении экспертизы от 12 мая 2020 г. № 2/125, выданному отделом экономики и прогнозирования администрации  муниципального образования Тимашевский район (далее - Уполномоченный орган  по  проведению  экспертизы  муниципальных нормативных правовых актов муниципального  образования  Тимашевский район). </w:t>
      </w:r>
      <w:r>
        <w:rPr>
          <w:sz w:val="28"/>
          <w:szCs w:val="28"/>
        </w:rPr>
        <w:t>От</w:t>
      </w:r>
      <w:r w:rsidRPr="00AA4884">
        <w:rPr>
          <w:sz w:val="28"/>
          <w:szCs w:val="28"/>
        </w:rPr>
        <w:t>дел</w:t>
      </w:r>
      <w:r>
        <w:rPr>
          <w:sz w:val="28"/>
          <w:szCs w:val="28"/>
        </w:rPr>
        <w:t xml:space="preserve">ом </w:t>
      </w:r>
      <w:r w:rsidRPr="00AA4884">
        <w:rPr>
          <w:sz w:val="28"/>
          <w:szCs w:val="28"/>
        </w:rPr>
        <w:t xml:space="preserve">строительства  администрации муниципального образования Тимашевский район </w:t>
      </w:r>
      <w:r>
        <w:rPr>
          <w:sz w:val="28"/>
          <w:szCs w:val="28"/>
        </w:rPr>
        <w:t xml:space="preserve">признается утратившим силу </w:t>
      </w:r>
      <w:r w:rsidRPr="00AA4884">
        <w:rPr>
          <w:sz w:val="28"/>
          <w:szCs w:val="28"/>
        </w:rPr>
        <w:t>подпункт 4 пункта 2.1 раздела 2</w:t>
      </w:r>
      <w:r>
        <w:rPr>
          <w:sz w:val="28"/>
          <w:szCs w:val="28"/>
        </w:rPr>
        <w:t xml:space="preserve"> приложения постановления, устанавливающий </w:t>
      </w:r>
      <w:r w:rsidRPr="00AA4884">
        <w:rPr>
          <w:sz w:val="28"/>
          <w:szCs w:val="28"/>
        </w:rPr>
        <w:t>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выписки из единого государственного реестра недвижимости в отношении земельного участка (участков), на котором(ых)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BE649C" w:rsidRPr="00BE649C" w:rsidRDefault="00BE649C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FAE" w:rsidRPr="00BE649C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 xml:space="preserve">        </w:t>
      </w:r>
      <w:r w:rsidR="00E765D3" w:rsidRPr="00BE649C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BE649C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BE649C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3. Цел</w:t>
      </w:r>
      <w:r w:rsidR="00F22EE6" w:rsidRPr="00BE649C">
        <w:rPr>
          <w:rFonts w:ascii="Times New Roman" w:hAnsi="Times New Roman" w:cs="Times New Roman"/>
          <w:sz w:val="28"/>
          <w:szCs w:val="28"/>
        </w:rPr>
        <w:t>ью</w:t>
      </w:r>
      <w:r w:rsidRPr="00BE649C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BE649C">
        <w:rPr>
          <w:rFonts w:ascii="Times New Roman" w:hAnsi="Times New Roman" w:cs="Times New Roman"/>
          <w:sz w:val="28"/>
          <w:szCs w:val="28"/>
        </w:rPr>
        <w:t>е</w:t>
      </w:r>
      <w:r w:rsidRPr="00BE649C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BE649C" w:rsidRPr="00BE649C" w:rsidRDefault="00B87C6A" w:rsidP="00BE64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- </w:t>
      </w:r>
      <w:r w:rsidR="00BE649C" w:rsidRPr="00BE649C">
        <w:rPr>
          <w:rFonts w:ascii="Times New Roman" w:hAnsi="Times New Roman" w:cs="Times New Roman"/>
          <w:sz w:val="28"/>
          <w:szCs w:val="28"/>
        </w:rPr>
        <w:t>устранение замечаний, выявленных Уполномоченным органом по проведению экспертизы муниципальных нормативных правовых актов муниципального образования Тимашевский район.</w:t>
      </w:r>
    </w:p>
    <w:p w:rsidR="00F50B52" w:rsidRPr="00BE649C" w:rsidRDefault="00F50B52" w:rsidP="00BE649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49C">
        <w:rPr>
          <w:rFonts w:ascii="Times New Roman" w:hAnsi="Times New Roman" w:cs="Times New Roman"/>
          <w:sz w:val="28"/>
          <w:szCs w:val="28"/>
        </w:rPr>
        <w:t>Цел</w:t>
      </w:r>
      <w:r w:rsidR="00F80C12" w:rsidRPr="00BE649C">
        <w:rPr>
          <w:rFonts w:ascii="Times New Roman" w:hAnsi="Times New Roman" w:cs="Times New Roman"/>
          <w:sz w:val="28"/>
          <w:szCs w:val="28"/>
        </w:rPr>
        <w:t>ь</w:t>
      </w:r>
      <w:r w:rsidRPr="00BE649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BE649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BE649C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BE649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BE649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BE649C">
        <w:rPr>
          <w:rFonts w:ascii="Times New Roman" w:hAnsi="Times New Roman" w:cs="Times New Roman"/>
          <w:sz w:val="28"/>
          <w:szCs w:val="28"/>
        </w:rPr>
        <w:t xml:space="preserve"> и </w:t>
      </w:r>
      <w:r w:rsidRPr="00BE649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14339" w:rsidRPr="009F391E" w:rsidRDefault="00F50B52" w:rsidP="00A1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 xml:space="preserve">4. </w:t>
      </w:r>
      <w:r w:rsidR="00A14339" w:rsidRPr="009F391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9F391E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9F391E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9F391E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902D3" w:rsidRPr="009F391E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9F391E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9F391E">
        <w:rPr>
          <w:rFonts w:ascii="Times New Roman" w:hAnsi="Times New Roman" w:cs="Times New Roman"/>
          <w:sz w:val="28"/>
          <w:szCs w:val="28"/>
        </w:rPr>
        <w:t xml:space="preserve"> </w:t>
      </w:r>
      <w:r w:rsidR="00A844C4" w:rsidRPr="009F391E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Pr="009F391E">
        <w:rPr>
          <w:rFonts w:ascii="Times New Roman" w:hAnsi="Times New Roman" w:cs="Times New Roman"/>
          <w:sz w:val="28"/>
          <w:szCs w:val="28"/>
        </w:rPr>
        <w:t>20</w:t>
      </w:r>
      <w:r w:rsidR="00AA787F" w:rsidRPr="009F391E">
        <w:rPr>
          <w:rFonts w:ascii="Times New Roman" w:hAnsi="Times New Roman" w:cs="Times New Roman"/>
          <w:sz w:val="28"/>
          <w:szCs w:val="28"/>
        </w:rPr>
        <w:t>20</w:t>
      </w:r>
      <w:r w:rsidRPr="009F391E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9F391E">
        <w:rPr>
          <w:rFonts w:ascii="Times New Roman" w:hAnsi="Times New Roman" w:cs="Times New Roman"/>
          <w:sz w:val="28"/>
          <w:szCs w:val="28"/>
        </w:rPr>
        <w:t>.</w:t>
      </w:r>
      <w:r w:rsidRPr="009F391E">
        <w:rPr>
          <w:rFonts w:ascii="Times New Roman" w:hAnsi="Times New Roman" w:cs="Times New Roman"/>
          <w:sz w:val="28"/>
          <w:szCs w:val="28"/>
        </w:rPr>
        <w:t xml:space="preserve"> по </w:t>
      </w:r>
      <w:r w:rsidR="006C7BBE" w:rsidRPr="009F391E">
        <w:rPr>
          <w:rFonts w:ascii="Times New Roman" w:hAnsi="Times New Roman" w:cs="Times New Roman"/>
          <w:sz w:val="28"/>
          <w:szCs w:val="28"/>
        </w:rPr>
        <w:t>22</w:t>
      </w:r>
      <w:r w:rsidR="0067254F" w:rsidRPr="009F391E">
        <w:rPr>
          <w:rFonts w:ascii="Times New Roman" w:hAnsi="Times New Roman" w:cs="Times New Roman"/>
          <w:sz w:val="28"/>
          <w:szCs w:val="28"/>
        </w:rPr>
        <w:t xml:space="preserve"> </w:t>
      </w:r>
      <w:r w:rsidR="007962BD" w:rsidRPr="009F391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F391E">
        <w:rPr>
          <w:rFonts w:ascii="Times New Roman" w:hAnsi="Times New Roman" w:cs="Times New Roman"/>
          <w:sz w:val="28"/>
          <w:szCs w:val="28"/>
        </w:rPr>
        <w:t>20</w:t>
      </w:r>
      <w:r w:rsidR="00AA787F" w:rsidRPr="009F391E">
        <w:rPr>
          <w:rFonts w:ascii="Times New Roman" w:hAnsi="Times New Roman" w:cs="Times New Roman"/>
          <w:sz w:val="28"/>
          <w:szCs w:val="28"/>
        </w:rPr>
        <w:t>20</w:t>
      </w:r>
      <w:r w:rsidRPr="009F39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9F391E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9F391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F391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F391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9F391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F391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F39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9F391E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9F391E">
        <w:rPr>
          <w:rFonts w:ascii="Times New Roman" w:hAnsi="Times New Roman" w:cs="Times New Roman"/>
          <w:sz w:val="28"/>
          <w:szCs w:val="28"/>
        </w:rPr>
        <w:t>В.В. Озерову</w:t>
      </w:r>
      <w:r w:rsidRPr="009F391E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9F391E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9F391E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9F391E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9F391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9F391E">
        <w:rPr>
          <w:rFonts w:ascii="Times New Roman" w:hAnsi="Times New Roman" w:cs="Times New Roman"/>
          <w:sz w:val="28"/>
          <w:szCs w:val="28"/>
        </w:rPr>
        <w:t>.</w:t>
      </w:r>
    </w:p>
    <w:p w:rsidR="00F53EB3" w:rsidRPr="009F391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9F391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91E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</w:t>
      </w:r>
      <w:r w:rsidRPr="009F391E">
        <w:rPr>
          <w:rFonts w:ascii="Times New Roman" w:hAnsi="Times New Roman" w:cs="Times New Roman"/>
          <w:sz w:val="28"/>
          <w:szCs w:val="28"/>
        </w:rPr>
        <w:lastRenderedPageBreak/>
        <w:t xml:space="preserve">нистративные обязанности, запреты и ограничения для </w:t>
      </w:r>
      <w:r w:rsidRPr="009F391E">
        <w:rPr>
          <w:rFonts w:ascii="Times New Roman" w:hAnsi="Times New Roman"/>
          <w:sz w:val="28"/>
          <w:szCs w:val="28"/>
        </w:rPr>
        <w:t>юридических лиц</w:t>
      </w:r>
      <w:r w:rsidRPr="009F391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9F391E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9F391E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9F391E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9F391E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9F391E" w:rsidRDefault="00AA787F" w:rsidP="00114638">
      <w:pPr>
        <w:ind w:left="-284"/>
        <w:jc w:val="both"/>
        <w:rPr>
          <w:sz w:val="28"/>
          <w:szCs w:val="28"/>
        </w:rPr>
      </w:pPr>
      <w:r w:rsidRPr="009F391E">
        <w:rPr>
          <w:sz w:val="28"/>
          <w:szCs w:val="28"/>
        </w:rPr>
        <w:t>Н</w:t>
      </w:r>
      <w:r w:rsidR="00CB0376" w:rsidRPr="009F391E">
        <w:rPr>
          <w:sz w:val="28"/>
          <w:szCs w:val="28"/>
        </w:rPr>
        <w:t xml:space="preserve">ачальник </w:t>
      </w:r>
      <w:r w:rsidR="00B60E53" w:rsidRPr="009F391E">
        <w:rPr>
          <w:sz w:val="28"/>
          <w:szCs w:val="28"/>
        </w:rPr>
        <w:t>отдела экономики</w:t>
      </w:r>
    </w:p>
    <w:p w:rsidR="00B60E53" w:rsidRPr="009F391E" w:rsidRDefault="00B60E53" w:rsidP="00114638">
      <w:pPr>
        <w:ind w:left="-284"/>
        <w:jc w:val="both"/>
        <w:rPr>
          <w:sz w:val="28"/>
          <w:szCs w:val="28"/>
        </w:rPr>
      </w:pPr>
      <w:r w:rsidRPr="009F391E">
        <w:rPr>
          <w:sz w:val="28"/>
          <w:szCs w:val="28"/>
        </w:rPr>
        <w:t xml:space="preserve">и прогнозирования администрации </w:t>
      </w:r>
    </w:p>
    <w:p w:rsidR="00413578" w:rsidRPr="009F391E" w:rsidRDefault="00413578" w:rsidP="00114638">
      <w:pPr>
        <w:ind w:left="-284"/>
        <w:jc w:val="both"/>
        <w:rPr>
          <w:sz w:val="28"/>
          <w:szCs w:val="28"/>
        </w:rPr>
      </w:pPr>
      <w:r w:rsidRPr="009F391E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9F391E">
        <w:rPr>
          <w:sz w:val="28"/>
          <w:szCs w:val="28"/>
        </w:rPr>
        <w:t>Тимашевский район</w:t>
      </w:r>
      <w:r w:rsidR="005D0E45" w:rsidRPr="009F391E">
        <w:rPr>
          <w:sz w:val="28"/>
          <w:szCs w:val="28"/>
        </w:rPr>
        <w:t xml:space="preserve">                                                     </w:t>
      </w:r>
      <w:r w:rsidR="0093683A" w:rsidRPr="009F391E">
        <w:rPr>
          <w:sz w:val="28"/>
          <w:szCs w:val="28"/>
        </w:rPr>
        <w:t xml:space="preserve">  </w:t>
      </w:r>
      <w:r w:rsidR="009C52A0" w:rsidRPr="009F391E">
        <w:rPr>
          <w:sz w:val="28"/>
          <w:szCs w:val="28"/>
        </w:rPr>
        <w:t xml:space="preserve">   </w:t>
      </w:r>
      <w:r w:rsidR="005D0E45" w:rsidRPr="009F391E">
        <w:rPr>
          <w:sz w:val="28"/>
          <w:szCs w:val="28"/>
        </w:rPr>
        <w:t xml:space="preserve"> </w:t>
      </w:r>
      <w:r w:rsidR="00591E03" w:rsidRPr="009F391E">
        <w:rPr>
          <w:sz w:val="28"/>
          <w:szCs w:val="28"/>
        </w:rPr>
        <w:t xml:space="preserve">  </w:t>
      </w:r>
      <w:r w:rsidR="00114638" w:rsidRPr="009F391E">
        <w:rPr>
          <w:sz w:val="28"/>
          <w:szCs w:val="28"/>
        </w:rPr>
        <w:t xml:space="preserve">   </w:t>
      </w:r>
      <w:r w:rsidR="005D0E45" w:rsidRPr="009F391E">
        <w:rPr>
          <w:sz w:val="28"/>
          <w:szCs w:val="28"/>
        </w:rPr>
        <w:t xml:space="preserve">  </w:t>
      </w:r>
      <w:r w:rsidR="00AA787F" w:rsidRPr="009F391E">
        <w:rPr>
          <w:sz w:val="28"/>
          <w:szCs w:val="28"/>
        </w:rPr>
        <w:t xml:space="preserve">        </w:t>
      </w:r>
      <w:r w:rsidR="005D0E45" w:rsidRPr="009F391E">
        <w:rPr>
          <w:sz w:val="28"/>
          <w:szCs w:val="28"/>
        </w:rPr>
        <w:t xml:space="preserve">    </w:t>
      </w:r>
      <w:r w:rsidR="00AA787F" w:rsidRPr="009F391E">
        <w:rPr>
          <w:sz w:val="28"/>
          <w:szCs w:val="28"/>
        </w:rPr>
        <w:t xml:space="preserve">       Д.Ю. Гусев</w:t>
      </w:r>
    </w:p>
    <w:sectPr w:rsidR="00413578" w:rsidSect="00ED5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07" w:rsidRDefault="00785307" w:rsidP="00EA4018">
      <w:r>
        <w:separator/>
      </w:r>
    </w:p>
  </w:endnote>
  <w:endnote w:type="continuationSeparator" w:id="0">
    <w:p w:rsidR="00785307" w:rsidRDefault="0078530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07" w:rsidRDefault="00785307" w:rsidP="00EA4018">
      <w:r>
        <w:separator/>
      </w:r>
    </w:p>
  </w:footnote>
  <w:footnote w:type="continuationSeparator" w:id="0">
    <w:p w:rsidR="00785307" w:rsidRDefault="0078530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8A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7345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B3D72"/>
    <w:rsid w:val="000B50D7"/>
    <w:rsid w:val="000C02C5"/>
    <w:rsid w:val="000C1C4A"/>
    <w:rsid w:val="000C1D43"/>
    <w:rsid w:val="000C6BAB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0F9"/>
    <w:rsid w:val="00104C92"/>
    <w:rsid w:val="00114638"/>
    <w:rsid w:val="00124E61"/>
    <w:rsid w:val="00126D64"/>
    <w:rsid w:val="00132C2B"/>
    <w:rsid w:val="001339E0"/>
    <w:rsid w:val="00136FD1"/>
    <w:rsid w:val="00141A29"/>
    <w:rsid w:val="0014717A"/>
    <w:rsid w:val="0015082D"/>
    <w:rsid w:val="00162557"/>
    <w:rsid w:val="00166D3D"/>
    <w:rsid w:val="001806AF"/>
    <w:rsid w:val="00183BBB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03D6"/>
    <w:rsid w:val="002D0B00"/>
    <w:rsid w:val="002D1705"/>
    <w:rsid w:val="002D1A2E"/>
    <w:rsid w:val="002D2712"/>
    <w:rsid w:val="002D4529"/>
    <w:rsid w:val="002E3E65"/>
    <w:rsid w:val="002E5C68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77A38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C7975"/>
    <w:rsid w:val="003D58CE"/>
    <w:rsid w:val="003D6D10"/>
    <w:rsid w:val="003E19F6"/>
    <w:rsid w:val="003E2D1D"/>
    <w:rsid w:val="003E4F86"/>
    <w:rsid w:val="003E50BE"/>
    <w:rsid w:val="003E5A3F"/>
    <w:rsid w:val="003F2DF4"/>
    <w:rsid w:val="00403B1C"/>
    <w:rsid w:val="00403C6B"/>
    <w:rsid w:val="00406AEB"/>
    <w:rsid w:val="00407729"/>
    <w:rsid w:val="0041252D"/>
    <w:rsid w:val="00413578"/>
    <w:rsid w:val="00414DB0"/>
    <w:rsid w:val="00415695"/>
    <w:rsid w:val="00422098"/>
    <w:rsid w:val="004233A4"/>
    <w:rsid w:val="004264BB"/>
    <w:rsid w:val="00431EE2"/>
    <w:rsid w:val="00432093"/>
    <w:rsid w:val="004355F8"/>
    <w:rsid w:val="0044111C"/>
    <w:rsid w:val="004501D4"/>
    <w:rsid w:val="004562D4"/>
    <w:rsid w:val="00457814"/>
    <w:rsid w:val="004620A2"/>
    <w:rsid w:val="00462734"/>
    <w:rsid w:val="00462CC9"/>
    <w:rsid w:val="00465F40"/>
    <w:rsid w:val="0046749E"/>
    <w:rsid w:val="004718D5"/>
    <w:rsid w:val="00471CA6"/>
    <w:rsid w:val="004733B8"/>
    <w:rsid w:val="0048211D"/>
    <w:rsid w:val="004944D7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4DC4"/>
    <w:rsid w:val="004E7B04"/>
    <w:rsid w:val="004F179A"/>
    <w:rsid w:val="004F36FB"/>
    <w:rsid w:val="0050151F"/>
    <w:rsid w:val="00516B94"/>
    <w:rsid w:val="0053050D"/>
    <w:rsid w:val="00535CFA"/>
    <w:rsid w:val="0054044D"/>
    <w:rsid w:val="00541601"/>
    <w:rsid w:val="00542FD0"/>
    <w:rsid w:val="0055080A"/>
    <w:rsid w:val="00551D7C"/>
    <w:rsid w:val="005535C4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5E91"/>
    <w:rsid w:val="005E326A"/>
    <w:rsid w:val="005E3AAC"/>
    <w:rsid w:val="005E5A77"/>
    <w:rsid w:val="005F73DA"/>
    <w:rsid w:val="00602C66"/>
    <w:rsid w:val="006071B6"/>
    <w:rsid w:val="006229D6"/>
    <w:rsid w:val="00624DCB"/>
    <w:rsid w:val="006277D2"/>
    <w:rsid w:val="006279F3"/>
    <w:rsid w:val="0063139C"/>
    <w:rsid w:val="00636179"/>
    <w:rsid w:val="00640507"/>
    <w:rsid w:val="0064241E"/>
    <w:rsid w:val="0064544C"/>
    <w:rsid w:val="006457A4"/>
    <w:rsid w:val="00646049"/>
    <w:rsid w:val="00646147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B0248"/>
    <w:rsid w:val="006C138F"/>
    <w:rsid w:val="006C2E26"/>
    <w:rsid w:val="006C4D81"/>
    <w:rsid w:val="006C7BBE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29EB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85307"/>
    <w:rsid w:val="00786048"/>
    <w:rsid w:val="00790727"/>
    <w:rsid w:val="0079226C"/>
    <w:rsid w:val="007962BD"/>
    <w:rsid w:val="007A3443"/>
    <w:rsid w:val="007A34F2"/>
    <w:rsid w:val="007B39AB"/>
    <w:rsid w:val="007B5E56"/>
    <w:rsid w:val="007C2540"/>
    <w:rsid w:val="007C4174"/>
    <w:rsid w:val="007C4A4E"/>
    <w:rsid w:val="007D3F0E"/>
    <w:rsid w:val="007D48A7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A69"/>
    <w:rsid w:val="00823C31"/>
    <w:rsid w:val="00823FD3"/>
    <w:rsid w:val="00824308"/>
    <w:rsid w:val="00837E19"/>
    <w:rsid w:val="00842A6C"/>
    <w:rsid w:val="008446D1"/>
    <w:rsid w:val="00844E0F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67BA"/>
    <w:rsid w:val="008B1610"/>
    <w:rsid w:val="008B3688"/>
    <w:rsid w:val="008B5FE4"/>
    <w:rsid w:val="008C6DEB"/>
    <w:rsid w:val="008D05F3"/>
    <w:rsid w:val="008D2833"/>
    <w:rsid w:val="008D42C3"/>
    <w:rsid w:val="008D485E"/>
    <w:rsid w:val="008E1B11"/>
    <w:rsid w:val="008E2B71"/>
    <w:rsid w:val="008E5EB0"/>
    <w:rsid w:val="008E6166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3D2"/>
    <w:rsid w:val="009249E5"/>
    <w:rsid w:val="009266F2"/>
    <w:rsid w:val="00936740"/>
    <w:rsid w:val="0093683A"/>
    <w:rsid w:val="00953EC7"/>
    <w:rsid w:val="009540ED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2A1"/>
    <w:rsid w:val="009B7957"/>
    <w:rsid w:val="009B7F2E"/>
    <w:rsid w:val="009C0B91"/>
    <w:rsid w:val="009C52A0"/>
    <w:rsid w:val="009C66EB"/>
    <w:rsid w:val="009D044C"/>
    <w:rsid w:val="009D66B7"/>
    <w:rsid w:val="009E08BB"/>
    <w:rsid w:val="009E47E6"/>
    <w:rsid w:val="009E7C6D"/>
    <w:rsid w:val="009F27B3"/>
    <w:rsid w:val="009F391E"/>
    <w:rsid w:val="009F706D"/>
    <w:rsid w:val="00A060AD"/>
    <w:rsid w:val="00A06228"/>
    <w:rsid w:val="00A10936"/>
    <w:rsid w:val="00A10D91"/>
    <w:rsid w:val="00A14339"/>
    <w:rsid w:val="00A159B7"/>
    <w:rsid w:val="00A23D81"/>
    <w:rsid w:val="00A3304F"/>
    <w:rsid w:val="00A3607D"/>
    <w:rsid w:val="00A36214"/>
    <w:rsid w:val="00A36B80"/>
    <w:rsid w:val="00A47B4E"/>
    <w:rsid w:val="00A50594"/>
    <w:rsid w:val="00A513C3"/>
    <w:rsid w:val="00A55D65"/>
    <w:rsid w:val="00A61ED7"/>
    <w:rsid w:val="00A65D26"/>
    <w:rsid w:val="00A7102A"/>
    <w:rsid w:val="00A73270"/>
    <w:rsid w:val="00A747D7"/>
    <w:rsid w:val="00A84440"/>
    <w:rsid w:val="00A844C4"/>
    <w:rsid w:val="00A854EB"/>
    <w:rsid w:val="00A9080A"/>
    <w:rsid w:val="00A93C7D"/>
    <w:rsid w:val="00AA0A75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46743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87C6A"/>
    <w:rsid w:val="00B909D3"/>
    <w:rsid w:val="00B91CA3"/>
    <w:rsid w:val="00B91F0B"/>
    <w:rsid w:val="00B94D5E"/>
    <w:rsid w:val="00BA0322"/>
    <w:rsid w:val="00BA3436"/>
    <w:rsid w:val="00BA6892"/>
    <w:rsid w:val="00BA6EED"/>
    <w:rsid w:val="00BB0A1B"/>
    <w:rsid w:val="00BB29F5"/>
    <w:rsid w:val="00BC66BE"/>
    <w:rsid w:val="00BD6D89"/>
    <w:rsid w:val="00BD7F07"/>
    <w:rsid w:val="00BE006D"/>
    <w:rsid w:val="00BE628C"/>
    <w:rsid w:val="00BE649C"/>
    <w:rsid w:val="00BF086E"/>
    <w:rsid w:val="00C02E99"/>
    <w:rsid w:val="00C125F7"/>
    <w:rsid w:val="00C12CA2"/>
    <w:rsid w:val="00C16C42"/>
    <w:rsid w:val="00C325B9"/>
    <w:rsid w:val="00C327D0"/>
    <w:rsid w:val="00C34A14"/>
    <w:rsid w:val="00C373FD"/>
    <w:rsid w:val="00C45B52"/>
    <w:rsid w:val="00C45F80"/>
    <w:rsid w:val="00C516F9"/>
    <w:rsid w:val="00C530F0"/>
    <w:rsid w:val="00C6115C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5637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2A97"/>
    <w:rsid w:val="00D632B5"/>
    <w:rsid w:val="00D63386"/>
    <w:rsid w:val="00D637B2"/>
    <w:rsid w:val="00D76444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C552D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5D32"/>
    <w:rsid w:val="00E25F1B"/>
    <w:rsid w:val="00E27DCF"/>
    <w:rsid w:val="00E27F1A"/>
    <w:rsid w:val="00E3007E"/>
    <w:rsid w:val="00E32A7E"/>
    <w:rsid w:val="00E365BF"/>
    <w:rsid w:val="00E40D34"/>
    <w:rsid w:val="00E428A0"/>
    <w:rsid w:val="00E4712D"/>
    <w:rsid w:val="00E51060"/>
    <w:rsid w:val="00E52929"/>
    <w:rsid w:val="00E66E9B"/>
    <w:rsid w:val="00E715E9"/>
    <w:rsid w:val="00E765D3"/>
    <w:rsid w:val="00E81C6F"/>
    <w:rsid w:val="00E847EC"/>
    <w:rsid w:val="00E87B20"/>
    <w:rsid w:val="00E909F5"/>
    <w:rsid w:val="00EA05DC"/>
    <w:rsid w:val="00EA4018"/>
    <w:rsid w:val="00EA53B7"/>
    <w:rsid w:val="00EA5DA0"/>
    <w:rsid w:val="00EA6BE2"/>
    <w:rsid w:val="00ED082E"/>
    <w:rsid w:val="00ED28AB"/>
    <w:rsid w:val="00ED5ADA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55FBF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2C98"/>
    <w:rsid w:val="00FB3760"/>
    <w:rsid w:val="00FB4DFE"/>
    <w:rsid w:val="00FC22E3"/>
    <w:rsid w:val="00FC4A6E"/>
    <w:rsid w:val="00FC62EE"/>
    <w:rsid w:val="00FC6908"/>
    <w:rsid w:val="00FD3C60"/>
    <w:rsid w:val="00FD5D4A"/>
    <w:rsid w:val="00FD6901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2">
    <w:name w:val="heading 2"/>
    <w:basedOn w:val="Normal"/>
    <w:next w:val="Normal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BalloonText">
    <w:name w:val="Balloon Text"/>
    <w:basedOn w:val="Normal"/>
    <w:semiHidden/>
    <w:rsid w:val="00462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0">
    <w:name w:val="Основной текст_"/>
    <w:basedOn w:val="DefaultParagraphFont"/>
    <w:link w:val="1"/>
    <w:rsid w:val="00BA6EED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Hyperlink">
    <w:name w:val="Hyperlink"/>
    <w:basedOn w:val="DefaultParagraphFont"/>
    <w:rsid w:val="00A159B7"/>
    <w:rPr>
      <w:color w:val="0066CC"/>
      <w:u w:val="single"/>
    </w:rPr>
  </w:style>
  <w:style w:type="paragraph" w:customStyle="1" w:styleId="2">
    <w:name w:val="Основной текст2"/>
    <w:basedOn w:val="Normal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ListParagraph">
    <w:name w:val="List Paragraph"/>
    <w:basedOn w:val="Normal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18"/>
  </w:style>
  <w:style w:type="paragraph" w:styleId="Footer">
    <w:name w:val="footer"/>
    <w:basedOn w:val="Normal"/>
    <w:link w:val="FooterChar"/>
    <w:rsid w:val="00EA40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A4018"/>
  </w:style>
  <w:style w:type="paragraph" w:customStyle="1" w:styleId="a1">
    <w:name w:val="Прижатый влево"/>
    <w:basedOn w:val="Normal"/>
    <w:next w:val="Normal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250F-6575-4A6D-8D24-4C62F212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778</cp:revision>
  <cp:lastPrinted>2019-11-15T06:32:00Z</cp:lastPrinted>
  <dcterms:created xsi:type="dcterms:W3CDTF">2015-04-10T06:47:00Z</dcterms:created>
  <dcterms:modified xsi:type="dcterms:W3CDTF">2020-09-28T06:12:00Z</dcterms:modified>
</cp:coreProperties>
</file>