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2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FC1F0D" w:rsidRPr="00FC1F0D" w:rsidRDefault="00FC1F0D" w:rsidP="00FC1F0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FC1F0D" w:rsidRPr="00FC1F0D" w:rsidRDefault="00FC1F0D" w:rsidP="00FC1F0D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FC1F0D" w:rsidRPr="00FC1F0D" w:rsidRDefault="00FC1F0D" w:rsidP="00FC1F0D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FC1F0D" w:rsidRPr="00FC1F0D" w:rsidRDefault="00FC1F0D" w:rsidP="00FC1F0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FC1F0D" w:rsidRPr="00FC1F0D" w:rsidTr="006B6269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Муниципаль-ный</w:t>
            </w:r>
            <w:proofErr w:type="spellEnd"/>
            <w:proofErr w:type="gramEnd"/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FC1F0D" w:rsidRPr="00FC1F0D" w:rsidTr="006B6269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6B6269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FC1F0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1F0D" w:rsidRPr="00FC1F0D" w:rsidRDefault="00FC1F0D" w:rsidP="00FC1F0D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457"/>
        <w:gridCol w:w="1156"/>
        <w:gridCol w:w="1156"/>
        <w:gridCol w:w="1156"/>
        <w:gridCol w:w="1156"/>
        <w:gridCol w:w="1156"/>
        <w:gridCol w:w="1156"/>
        <w:gridCol w:w="1011"/>
        <w:gridCol w:w="2023"/>
        <w:gridCol w:w="1589"/>
      </w:tblGrid>
      <w:tr w:rsidR="00FC1F0D" w:rsidRPr="00FC1F0D" w:rsidTr="00FC1F0D">
        <w:trPr>
          <w:trHeight w:val="371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Цель: 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F0D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техническая поддержка неисключительных (пользовательских) прав на единое программное решение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 и подведомственных учреждений, обеспеченных лицензионными программными продуктами и их технической поддержкой,                   в 2023 - 2026 годах не менее 255 офисных пакетов и не менее 255 операционных систем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мониторингов специализированного программного обеспечения на предмет истечения срока их действия; ежегодно, 2 раза в год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данных в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муниципального образования Тимашевский район, ежегодно,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заказчик: администрация муниципальн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рабочее место,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 рабочее место.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3 шт., в 2023 </w:t>
            </w:r>
            <w:proofErr w:type="gram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году  -</w:t>
            </w:r>
            <w:proofErr w:type="gram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- 4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FC1F0D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2024 - 2026 годах - 1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2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многофункциональных устройств,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2 шт. цветных принтеров, </w:t>
            </w:r>
          </w:p>
          <w:p w:rsidR="00FC1F0D" w:rsidRPr="00FC1F0D" w:rsidRDefault="004F70EB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</w:t>
            </w:r>
            <w:r w:rsidRPr="004F70E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– 9</w:t>
            </w:r>
            <w:r w:rsidR="00FC1F0D" w:rsidRPr="004F70E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шт.,</w:t>
            </w:r>
            <w:r w:rsidR="00FC1F0D"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из них: 7 многофункциональных устройств, </w:t>
            </w:r>
          </w:p>
          <w:p w:rsidR="00FC1F0D" w:rsidRPr="00FC1F0D" w:rsidRDefault="004F70EB" w:rsidP="00FC1F0D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4F70E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  <w:r w:rsidR="00FC1F0D"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шт. - цветной принтер.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системных блоков шт., 12 мониторов шт., 2 рабочих станций;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176 шт., в том числе мониторов -88 шт., системных блоков - 88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шт., в том числе мониторов - 2 шт., системных блоков - 3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1.2.1.3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:rsidR="00FC1F0D" w:rsidRPr="00FC1F0D" w:rsidRDefault="00FC1F0D" w:rsidP="00FC1F0D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1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FC1F0D">
              <w:rPr>
                <w:rFonts w:ascii="Times New Roman" w:hAnsi="Times New Roman" w:cs="Times New Roman"/>
              </w:rPr>
              <w:t>сопровождение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2024 - 2026 годах - 1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404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2023-2026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KAISXMLCREATOR – 1 шт., «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1.2.1.9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FC1F0D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FC1F0D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FC1F0D">
              <w:rPr>
                <w:rFonts w:ascii="Times New Roman" w:hAnsi="Times New Roman" w:cs="Times New Roman"/>
              </w:rPr>
              <w:t xml:space="preserve">опровождению официального сайта: 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</w:t>
            </w:r>
            <w:r w:rsidRPr="00FC1F0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. ед., в 2024 - 2026 годах –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1.2.1.10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бесперебойной работы компьютерной и оргтехники в администрации муниципального образования Тимашевский район 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материалов и заправку картриджей,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77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8 ПРОФ» (установка, тестирование, техническое сопровождение), в 2023 году -3 шт.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5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Общее финансирование 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FC1F0D" w:rsidRPr="00FC1F0D" w:rsidRDefault="00FC1F0D" w:rsidP="00FC1F0D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2023 году – не менее 51 единицы;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2024 году – не менее 53 единицы;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241"/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мониторингов функционирования (актуальности) переведенных в электронную форму муниципальных услуг: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2021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2022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150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160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:rsidR="00FC1F0D" w:rsidRPr="00FC1F0D" w:rsidRDefault="00FC1F0D" w:rsidP="00FC1F0D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мероприятия: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3E3A6C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4 103,5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3E3A6C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4 103,5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3E3A6C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18 380,5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3D2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3D2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153D27" w:rsidRDefault="003E3A6C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18 380,5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FC1F0D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https://тимрегион.рф/, не менее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F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44" w:firstLine="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:rsid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80,0 тыс. кв. см;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 2022 году –</w:t>
            </w:r>
            <w:r w:rsidRPr="00FC1F0D">
              <w:rPr>
                <w:rFonts w:ascii="Times New Roman" w:hAnsi="Times New Roman" w:cs="Times New Roman"/>
              </w:rPr>
              <w:t xml:space="preserve"> </w:t>
            </w:r>
          </w:p>
          <w:p w:rsid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не менее</w:t>
            </w:r>
          </w:p>
          <w:p w:rsidR="00FC1F0D" w:rsidRPr="00FC1F0D" w:rsidRDefault="00FC1F0D" w:rsidP="00FC1F0D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271,0 тыс. кв. см;</w:t>
            </w:r>
          </w:p>
          <w:p w:rsidR="00FC1F0D" w:rsidRPr="00FC1F0D" w:rsidRDefault="00FC1F0D" w:rsidP="00FC1F0D">
            <w:pPr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hanging="44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2024 – </w:t>
            </w:r>
          </w:p>
          <w:p w:rsidR="00153D27" w:rsidRDefault="00FC1F0D" w:rsidP="00FC1F0D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FC1F0D" w:rsidRDefault="00FC1F0D" w:rsidP="00153D27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162 тыс. кв. см.;</w:t>
            </w:r>
          </w:p>
          <w:p w:rsidR="00FC1F0D" w:rsidRPr="00FC1F0D" w:rsidRDefault="00FC1F0D" w:rsidP="00FC1F0D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2025 - 2026 годах – не менее </w:t>
            </w:r>
          </w:p>
          <w:p w:rsidR="00FC1F0D" w:rsidRPr="00FC1F0D" w:rsidRDefault="00FC1F0D" w:rsidP="00FC1F0D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58,0 тыс. кв. см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3E3A6C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15 980,0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15 980,0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изготовленных буклетов, не менее 280 штук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годах – 0 секунд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900 шт. ежегодно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информаций, размещенных на официальном сайте https://тимрегион.рф/: не менее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2.1.1.6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C1F0D">
              <w:rPr>
                <w:rFonts w:ascii="Times New Roman" w:eastAsia="Calibri" w:hAnsi="Times New Roman" w:cs="Times New Roman"/>
              </w:rPr>
              <w:t>Муници-пальный</w:t>
            </w:r>
            <w:proofErr w:type="spellEnd"/>
            <w:proofErr w:type="gramEnd"/>
            <w:r w:rsidRPr="00FC1F0D">
              <w:rPr>
                <w:rFonts w:ascii="Times New Roman" w:eastAsia="Calibri" w:hAnsi="Times New Roman" w:cs="Times New Roman"/>
              </w:rPr>
              <w:t xml:space="preserve"> за-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казчик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>: ад-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министрация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муниципаль-ного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1F0D">
              <w:rPr>
                <w:rFonts w:ascii="Times New Roman" w:eastAsia="Calibri" w:hAnsi="Times New Roman" w:cs="Times New Roman"/>
              </w:rPr>
              <w:t>образо-вания</w:t>
            </w:r>
            <w:proofErr w:type="spellEnd"/>
            <w:r w:rsidRPr="00FC1F0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363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1F0D" w:rsidRPr="00FC1F0D" w:rsidTr="00FC1F0D">
        <w:trPr>
          <w:trHeight w:val="798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FC1F0D" w:rsidRDefault="00FC1F0D" w:rsidP="00FC1F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2.1.1.7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Приобретение  оборудования для фото и видеосъемки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0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Количество приобретаемого обору</w:t>
            </w:r>
            <w:r w:rsidR="003E3A6C">
              <w:rPr>
                <w:rFonts w:ascii="Times New Roman" w:eastAsia="Calibri" w:hAnsi="Times New Roman" w:cs="Times New Roman"/>
                <w:highlight w:val="yellow"/>
              </w:rPr>
              <w:t xml:space="preserve">дования для фото и видеосъемки, </w:t>
            </w:r>
            <w:r w:rsidR="003E3A6C" w:rsidRPr="003E3A6C">
              <w:rPr>
                <w:rFonts w:ascii="Times New Roman" w:eastAsia="Calibri" w:hAnsi="Times New Roman" w:cs="Times New Roman"/>
                <w:highlight w:val="yellow"/>
              </w:rPr>
              <w:t xml:space="preserve">всего 10 ед.              в 2024 году, </w:t>
            </w:r>
          </w:p>
          <w:p w:rsidR="00C7518A" w:rsidRPr="00FC1F0D" w:rsidRDefault="003E3A6C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E3A6C">
              <w:rPr>
                <w:rFonts w:ascii="Times New Roman" w:eastAsia="Calibri" w:hAnsi="Times New Roman" w:cs="Times New Roman"/>
                <w:highlight w:val="yellow"/>
              </w:rPr>
              <w:t>в том числе:</w:t>
            </w:r>
            <w:r w:rsidRPr="003E3A6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highlight w:val="yellow"/>
              </w:rPr>
              <w:t xml:space="preserve">карта памяти – </w:t>
            </w:r>
            <w:r w:rsidR="00C7518A" w:rsidRPr="00FC1F0D">
              <w:rPr>
                <w:rFonts w:ascii="Times New Roman" w:eastAsia="Calibri" w:hAnsi="Times New Roman" w:cs="Times New Roman"/>
                <w:highlight w:val="yellow"/>
              </w:rPr>
              <w:t xml:space="preserve">1 шт., </w:t>
            </w:r>
          </w:p>
          <w:p w:rsidR="00C7518A" w:rsidRPr="00FC1F0D" w:rsidRDefault="003E3A6C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микрофон -</w:t>
            </w:r>
            <w:r w:rsidR="00C7518A" w:rsidRPr="00FC1F0D">
              <w:rPr>
                <w:rFonts w:ascii="Times New Roman" w:eastAsia="Calibri" w:hAnsi="Times New Roman" w:cs="Times New Roman"/>
                <w:highlight w:val="yellow"/>
              </w:rPr>
              <w:t xml:space="preserve"> 1 шт., фотоаппарат –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 xml:space="preserve">1 шт., объектив для фотоаппарата – 1 шт., электронный стабилизатор для фотоаппарата–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 xml:space="preserve">1 шт., зарядное устройство для фотоаппарата – </w:t>
            </w:r>
          </w:p>
          <w:p w:rsid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 xml:space="preserve">1 шт., </w:t>
            </w:r>
            <w:r w:rsidR="003E3A6C">
              <w:rPr>
                <w:rFonts w:ascii="Times New Roman" w:eastAsia="Calibri" w:hAnsi="Times New Roman" w:cs="Times New Roman"/>
                <w:highlight w:val="yellow"/>
              </w:rPr>
              <w:t xml:space="preserve">аккумулятор для фотоаппарата – </w:t>
            </w:r>
            <w:r w:rsidRPr="00FC1F0D">
              <w:rPr>
                <w:rFonts w:ascii="Times New Roman" w:eastAsia="Calibri" w:hAnsi="Times New Roman" w:cs="Times New Roman"/>
                <w:highlight w:val="yellow"/>
              </w:rPr>
              <w:t xml:space="preserve">1 шт., комплект для цифровой камеры (клетка, ручка и фиксатор кабеля) – 1 шт., штатив для фотоаппарата </w:t>
            </w:r>
          </w:p>
          <w:p w:rsid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с держате</w:t>
            </w:r>
            <w:r>
              <w:rPr>
                <w:rFonts w:ascii="Times New Roman" w:eastAsia="Calibri" w:hAnsi="Times New Roman" w:cs="Times New Roman"/>
                <w:highlight w:val="yellow"/>
              </w:rPr>
              <w:t xml:space="preserve">лем телефона </w:t>
            </w:r>
          </w:p>
          <w:p w:rsidR="00C7518A" w:rsidRPr="00FC1F0D" w:rsidRDefault="00C7518A" w:rsidP="003E3A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 xml:space="preserve">и пультом – 2 шт.,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highlight w:val="yellow"/>
              </w:rPr>
              <w:t>603,5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C7518A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FC1F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FC1F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C1F0D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FC1F0D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информационных видеоматериалов: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2024 -2026 годах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размещение листовок, баннеров и иного иллюстрированного материала, направленного на развитие, совершенствования и укрепление системы повышения мотивации граждан к военной службе по контракту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Ко-во изготовленных и размещенных информационных листовок: 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в 2024 г. -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30 000 шт.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18A" w:rsidRPr="003E3A6C" w:rsidRDefault="00C7518A" w:rsidP="00C7518A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Объем изготовленных и размещенных информационных баннеров:</w:t>
            </w:r>
          </w:p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г. – не менее 150 </w:t>
            </w:r>
            <w:proofErr w:type="spellStart"/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C7518A" w:rsidRPr="00FC1F0D" w:rsidRDefault="00C7518A" w:rsidP="00C7518A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ЧС, вопросам казачества</w:t>
            </w: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3E3A6C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3A6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3E3A6C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15 433,8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3E3A6C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15 433,8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18A" w:rsidRPr="00FC1F0D" w:rsidTr="00FC1F0D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E3A6C" w:rsidRPr="003E3A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68 296,7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3E3A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1F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E3A6C" w:rsidRPr="003E3A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68 296,7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A" w:rsidRPr="00FC1F0D" w:rsidRDefault="00C7518A" w:rsidP="00C7518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 </w:t>
      </w: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0D" w:rsidRPr="00FC1F0D" w:rsidRDefault="00FC1F0D" w:rsidP="00FC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FC1F0D" w:rsidRPr="00FC1F0D" w:rsidRDefault="00FC1F0D" w:rsidP="00FC1F0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C1F0D" w:rsidRPr="00FC1F0D" w:rsidRDefault="00FC1F0D" w:rsidP="00FC1F0D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                                                                                                                                                   И.А. Скрипиль</w:t>
      </w:r>
    </w:p>
    <w:p w:rsidR="00FC1F0D" w:rsidRPr="00FC1F0D" w:rsidRDefault="00FC1F0D" w:rsidP="00FC1F0D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C1F0D" w:rsidRPr="00FC1F0D" w:rsidRDefault="00FC1F0D" w:rsidP="00FC1F0D">
      <w:pPr>
        <w:spacing w:after="200" w:line="276" w:lineRule="auto"/>
      </w:pPr>
    </w:p>
    <w:p w:rsidR="00673EC3" w:rsidRDefault="00673EC3"/>
    <w:sectPr w:rsidR="00673EC3" w:rsidSect="006B6269">
      <w:headerReference w:type="default" r:id="rId7"/>
      <w:headerReference w:type="firs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8A" w:rsidRDefault="00C7518A">
      <w:pPr>
        <w:spacing w:after="0" w:line="240" w:lineRule="auto"/>
      </w:pPr>
      <w:r>
        <w:separator/>
      </w:r>
    </w:p>
  </w:endnote>
  <w:endnote w:type="continuationSeparator" w:id="0">
    <w:p w:rsidR="00C7518A" w:rsidRDefault="00C7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8A" w:rsidRDefault="00C7518A">
      <w:pPr>
        <w:spacing w:after="0" w:line="240" w:lineRule="auto"/>
      </w:pPr>
      <w:r>
        <w:separator/>
      </w:r>
    </w:p>
  </w:footnote>
  <w:footnote w:type="continuationSeparator" w:id="0">
    <w:p w:rsidR="00C7518A" w:rsidRDefault="00C7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A" w:rsidRDefault="004F70EB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C7518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694A29" wp14:editId="3A4EC8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7518A" w:rsidRPr="00321B14" w:rsidRDefault="00C7518A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F70EB" w:rsidRPr="004F70EB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694A29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7518A" w:rsidRPr="00321B14" w:rsidRDefault="00C7518A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F70EB" w:rsidRPr="004F70EB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C7518A" w:rsidRDefault="00C75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:rsidR="00C7518A" w:rsidRDefault="00C7518A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75A77B" wp14:editId="6BA7059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18A" w:rsidRPr="00321B14" w:rsidRDefault="00C7518A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75A77B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Afpw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UmiUZDW0qPu0ebf52H3vbjbvu8/dTfdt86H70X3pvpKJq1fbmATcrppL&#10;7TI2zYXKXhki1VnJ5IKfaq3akrMcUAbO3rvj4AQDrmTePlU5XMeWVmHp1oWuXUAoClljh673HeJr&#10;SzI4DMPxaBxRkoFqEkcPIuygx5Kdc6ONfcxVTdwmpRoIgMHZ6sJYB4YlOxMEryqRz0RVoaAX87NK&#10;kxUDsszwQ/yQ46FZJZ2xVM6tj9ifAEa4w+kcWmz+mzgYhv7DYTyYjSbjQTgLo0E89icDP4gfxiM/&#10;jMPz2VsHMAiTUuQ5lxdC8h0Rg/DvGr0diZ5CSEXSpjSOhhHmfge9OUzSx+9PSdbCwlxWooY6741Y&#10;4vr6SOaQNkssE1W/9+7CxypDDXZ/rAqywDW+J5Bdz9dIO6SII8Vc5ddAC62gbTCp8KbAxq2UtDCf&#10;KTWvl0xzSqonEqgVB2HoBhqFMBoPQdCHmvmhhsmsVDD2EKzfntn+EVg2WixKuCnAUkl1CnQsBFLl&#10;FtWWxDCDmNP2vXBDfiij1e2rNv0JAAD//wMAUEsDBBQABgAIAAAAIQDaP/Jf3AAAAAQBAAAPAAAA&#10;ZHJzL2Rvd25yZXYueG1sTI9PS8NAEMXvgt9hGcGb3a34p8ZsShEVLEVoq8XjNBmT6O5syG7b+O0d&#10;vejlwfAe7/0mnw7eqT31sQ1sYTwyoIjLULVcW3hZP5xNQMWEXKELTBa+KMK0OD7KMavCgZe0X6Va&#10;SQnHDC00KXWZ1rFsyGMchY5YvPfQe0xy9rWuejxIuXf63Jgr7bFlWWiwo7uGys/VzltocTM8f8zv&#10;03Ixf3Rvs40rb55erT09GWa3oBIN6S8MP/iCDoUwbcOOq6icBXkk/ap41+YS1FYyF2MDusj1f/ji&#10;GwAA//8DAFBLAQItABQABgAIAAAAIQC2gziS/gAAAOEBAAATAAAAAAAAAAAAAAAAAAAAAABbQ29u&#10;dGVudF9UeXBlc10ueG1sUEsBAi0AFAAGAAgAAAAhADj9If/WAAAAlAEAAAsAAAAAAAAAAAAAAAAA&#10;LwEAAF9yZWxzLy5yZWxzUEsBAi0AFAAGAAgAAAAhAEQ3sB+nAgAAHQUAAA4AAAAAAAAAAAAAAAAA&#10;LgIAAGRycy9lMm9Eb2MueG1sUEsBAi0AFAAGAAgAAAAhANo/8l/cAAAABAEAAA8AAAAAAAAAAAAA&#10;AAAAAQUAAGRycy9kb3ducmV2LnhtbFBLBQYAAAAABAAEAPMAAAAKBgAAAAA=&#10;" o:allowincell="f" stroked="f">
                  <v:textbox style="layout-flow:vertical">
                    <w:txbxContent>
                      <w:p w:rsidR="006B6269" w:rsidRPr="00321B14" w:rsidRDefault="006B626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6"/>
    <w:rsid w:val="00153D27"/>
    <w:rsid w:val="003E3A6C"/>
    <w:rsid w:val="00485C66"/>
    <w:rsid w:val="004F70EB"/>
    <w:rsid w:val="005659D7"/>
    <w:rsid w:val="00673EC3"/>
    <w:rsid w:val="006B6269"/>
    <w:rsid w:val="0079424E"/>
    <w:rsid w:val="008D3CF6"/>
    <w:rsid w:val="00A32E91"/>
    <w:rsid w:val="00A5572D"/>
    <w:rsid w:val="00C7518A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D4A1"/>
  <w15:chartTrackingRefBased/>
  <w15:docId w15:val="{84938B96-A8FB-4F3D-916B-A2B4DF9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F0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1F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F0D"/>
  </w:style>
  <w:style w:type="numbering" w:customStyle="1" w:styleId="110">
    <w:name w:val="Нет списка11"/>
    <w:next w:val="a2"/>
    <w:semiHidden/>
    <w:rsid w:val="00FC1F0D"/>
  </w:style>
  <w:style w:type="table" w:styleId="a3">
    <w:name w:val="Table Grid"/>
    <w:basedOn w:val="a1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FC1F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C1F0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1F0D"/>
  </w:style>
  <w:style w:type="paragraph" w:customStyle="1" w:styleId="ConsPlusNormal">
    <w:name w:val="ConsPlusNormal"/>
    <w:link w:val="ConsPlusNormal0"/>
    <w:rsid w:val="00FC1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C1F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C1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C1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FC1F0D"/>
  </w:style>
  <w:style w:type="character" w:styleId="ae">
    <w:name w:val="Emphasis"/>
    <w:qFormat/>
    <w:rsid w:val="00FC1F0D"/>
    <w:rPr>
      <w:i/>
      <w:iCs/>
    </w:rPr>
  </w:style>
  <w:style w:type="paragraph" w:styleId="af">
    <w:name w:val="Body Text Indent"/>
    <w:basedOn w:val="a"/>
    <w:link w:val="af0"/>
    <w:rsid w:val="00FC1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1F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C1F0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FC1F0D"/>
    <w:rPr>
      <w:b/>
      <w:bCs/>
    </w:rPr>
  </w:style>
  <w:style w:type="paragraph" w:styleId="af2">
    <w:name w:val="Body Text"/>
    <w:basedOn w:val="a"/>
    <w:link w:val="af3"/>
    <w:rsid w:val="00FC1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FC1F0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C1F0D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FC1F0D"/>
    <w:rPr>
      <w:b/>
      <w:bCs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"/>
    <w:rsid w:val="00FC1F0D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FC1F0D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FC1F0D"/>
    <w:rPr>
      <w:noProof/>
      <w:shd w:val="clear" w:color="auto" w:fill="FFFFFF"/>
    </w:rPr>
  </w:style>
  <w:style w:type="character" w:customStyle="1" w:styleId="af5">
    <w:name w:val="Колонтитул"/>
    <w:basedOn w:val="af4"/>
    <w:rsid w:val="00FC1F0D"/>
    <w:rPr>
      <w:noProof/>
      <w:shd w:val="clear" w:color="auto" w:fill="FFFFFF"/>
    </w:rPr>
  </w:style>
  <w:style w:type="character" w:customStyle="1" w:styleId="1110">
    <w:name w:val="Основной текст + 111"/>
    <w:aliases w:val="5 pt1,Полужирный"/>
    <w:rsid w:val="00FC1F0D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FC1F0D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FC1F0D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FC1F0D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FC1F0D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FC1F0D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FC1F0D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FC1F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FC1F0D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FC1F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FC1F0D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FC1F0D"/>
    <w:pPr>
      <w:spacing w:after="200" w:line="276" w:lineRule="auto"/>
      <w:ind w:left="720"/>
      <w:contextualSpacing/>
    </w:pPr>
  </w:style>
  <w:style w:type="paragraph" w:customStyle="1" w:styleId="16">
    <w:name w:val="Знак1"/>
    <w:basedOn w:val="a"/>
    <w:uiPriority w:val="99"/>
    <w:rsid w:val="00FC1F0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FC1F0D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C1F0D"/>
  </w:style>
  <w:style w:type="numbering" w:customStyle="1" w:styleId="1111">
    <w:name w:val="Нет списка111"/>
    <w:next w:val="a2"/>
    <w:semiHidden/>
    <w:rsid w:val="00FC1F0D"/>
  </w:style>
  <w:style w:type="table" w:customStyle="1" w:styleId="17">
    <w:name w:val="Сетка таблицы1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C1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FC1F0D"/>
  </w:style>
  <w:style w:type="numbering" w:customStyle="1" w:styleId="11110">
    <w:name w:val="Нет списка1111"/>
    <w:next w:val="a2"/>
    <w:semiHidden/>
    <w:rsid w:val="00FC1F0D"/>
  </w:style>
  <w:style w:type="table" w:customStyle="1" w:styleId="28">
    <w:name w:val="Сетка таблицы2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2024-10-25T06:22:00Z</cp:lastPrinted>
  <dcterms:created xsi:type="dcterms:W3CDTF">2024-09-02T07:36:00Z</dcterms:created>
  <dcterms:modified xsi:type="dcterms:W3CDTF">2024-10-25T06:23:00Z</dcterms:modified>
</cp:coreProperties>
</file>