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852" w:rsidRDefault="00150852" w:rsidP="00150852">
      <w:pPr>
        <w:ind w:left="5812" w:firstLine="0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150852" w:rsidRDefault="00150852" w:rsidP="00150852">
      <w:pPr>
        <w:ind w:left="4956" w:firstLine="444"/>
        <w:rPr>
          <w:sz w:val="28"/>
          <w:szCs w:val="28"/>
        </w:rPr>
      </w:pPr>
    </w:p>
    <w:p w:rsidR="00150852" w:rsidRDefault="00150852" w:rsidP="00150852">
      <w:pPr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УТВЕРЖДЕН</w:t>
      </w:r>
    </w:p>
    <w:p w:rsidR="00150852" w:rsidRDefault="00150852" w:rsidP="00150852">
      <w:pPr>
        <w:tabs>
          <w:tab w:val="left" w:pos="5940"/>
        </w:tabs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постановлением главы</w:t>
      </w:r>
    </w:p>
    <w:p w:rsidR="00150852" w:rsidRDefault="00150852" w:rsidP="00150852">
      <w:pPr>
        <w:tabs>
          <w:tab w:val="left" w:pos="5940"/>
        </w:tabs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муниципального образования</w:t>
      </w:r>
    </w:p>
    <w:p w:rsidR="00150852" w:rsidRDefault="00150852" w:rsidP="00150852">
      <w:pPr>
        <w:ind w:left="4956" w:firstLine="624"/>
        <w:rPr>
          <w:sz w:val="28"/>
          <w:szCs w:val="28"/>
        </w:rPr>
      </w:pPr>
      <w:r>
        <w:rPr>
          <w:sz w:val="28"/>
          <w:szCs w:val="28"/>
        </w:rPr>
        <w:t xml:space="preserve">     Тимашевский район</w:t>
      </w:r>
    </w:p>
    <w:p w:rsidR="00150852" w:rsidRDefault="00150852" w:rsidP="00150852">
      <w:pPr>
        <w:ind w:left="4956" w:firstLine="624"/>
        <w:rPr>
          <w:sz w:val="28"/>
          <w:szCs w:val="28"/>
        </w:rPr>
      </w:pPr>
      <w:r>
        <w:rPr>
          <w:sz w:val="28"/>
          <w:szCs w:val="28"/>
        </w:rPr>
        <w:t xml:space="preserve">     от _____________№ ___</w:t>
      </w:r>
    </w:p>
    <w:p w:rsidR="00150852" w:rsidRDefault="00150852" w:rsidP="00150852">
      <w:pPr>
        <w:rPr>
          <w:sz w:val="28"/>
          <w:szCs w:val="28"/>
        </w:rPr>
      </w:pPr>
    </w:p>
    <w:p w:rsidR="00150852" w:rsidRDefault="00150852" w:rsidP="00150852">
      <w:pPr>
        <w:ind w:firstLine="698"/>
        <w:jc w:val="left"/>
        <w:rPr>
          <w:rStyle w:val="a5"/>
          <w:rFonts w:ascii="Times New Roman" w:hAnsi="Times New Roman" w:cs="Times New Roman"/>
          <w:bCs/>
        </w:rPr>
      </w:pPr>
    </w:p>
    <w:p w:rsidR="00150852" w:rsidRDefault="00150852" w:rsidP="00150852">
      <w:pPr>
        <w:ind w:firstLine="698"/>
        <w:jc w:val="right"/>
        <w:rPr>
          <w:rStyle w:val="a5"/>
          <w:rFonts w:ascii="Times New Roman" w:hAnsi="Times New Roman" w:cs="Times New Roman"/>
          <w:bCs/>
          <w:sz w:val="28"/>
          <w:szCs w:val="28"/>
        </w:rPr>
      </w:pPr>
    </w:p>
    <w:p w:rsidR="00150852" w:rsidRDefault="00150852" w:rsidP="00150852">
      <w:pPr>
        <w:ind w:firstLine="698"/>
        <w:jc w:val="right"/>
        <w:rPr>
          <w:rStyle w:val="a5"/>
          <w:rFonts w:ascii="Times New Roman" w:hAnsi="Times New Roman" w:cs="Times New Roman"/>
          <w:bCs/>
          <w:sz w:val="28"/>
          <w:szCs w:val="28"/>
        </w:rPr>
      </w:pPr>
    </w:p>
    <w:p w:rsidR="00150852" w:rsidRDefault="00150852" w:rsidP="00150852"/>
    <w:p w:rsidR="00150852" w:rsidRDefault="00150852" w:rsidP="00150852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br/>
        <w:t>документов, дополнительно представляемых принципалом в администрацию муниципального образования Тимашевский район, если в качестве обеспечения исполнения обязательств принципала предлагается банковская гарантия или поручительство юридического лица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bookmarkStart w:id="0" w:name="sub_4001"/>
      <w:r>
        <w:rPr>
          <w:rFonts w:ascii="Times New Roman" w:hAnsi="Times New Roman" w:cs="Times New Roman"/>
          <w:sz w:val="28"/>
          <w:szCs w:val="28"/>
        </w:rPr>
        <w:t>1. Письмо кредитной организации - гаранта (далее - гарант) и (или) юридического лица - поручителя (далее - поручитель) о согласии выступить гарантом (поручителем) по обязательствам принципала.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bookmarkStart w:id="1" w:name="sub_4002"/>
      <w:bookmarkEnd w:id="0"/>
      <w:r>
        <w:rPr>
          <w:rFonts w:ascii="Times New Roman" w:hAnsi="Times New Roman" w:cs="Times New Roman"/>
          <w:sz w:val="28"/>
          <w:szCs w:val="28"/>
        </w:rPr>
        <w:t>2. Нотариально заверенные копии учредительных документов гаранта (поручителя) со всеми приложениями и изменениями.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bookmarkStart w:id="2" w:name="sub_4003"/>
      <w:bookmarkEnd w:id="1"/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91545">
        <w:rPr>
          <w:rFonts w:ascii="Times New Roman" w:hAnsi="Times New Roman" w:cs="Times New Roman"/>
          <w:sz w:val="28"/>
          <w:szCs w:val="28"/>
        </w:rPr>
        <w:t xml:space="preserve">Заверенные нотариально или заверенные органом или организацией составивший (выдавший) этот документ </w:t>
      </w:r>
      <w:r>
        <w:rPr>
          <w:rFonts w:ascii="Times New Roman" w:hAnsi="Times New Roman" w:cs="Times New Roman"/>
          <w:sz w:val="28"/>
          <w:szCs w:val="28"/>
        </w:rPr>
        <w:t>подтверждающие полномочия гаранта (поручителя) или иного уполномоченного лица на совершение сделок от имени гаранта (поручителя) и главного бухгалтера гаранта (поручителя) (решение об избрании, приказ о назначении, приказ о вступлении в должность, копия контракта, доверенность и другие), а также нотариально заверенные образцы подписей указанных лиц и оттиска печати гаранта (поручителя) (при наличии печати).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bookmarkStart w:id="3" w:name="sub_4004"/>
      <w:bookmarkEnd w:id="2"/>
      <w:r>
        <w:rPr>
          <w:rFonts w:ascii="Times New Roman" w:hAnsi="Times New Roman" w:cs="Times New Roman"/>
          <w:sz w:val="28"/>
          <w:szCs w:val="28"/>
        </w:rPr>
        <w:t>4. Документ</w:t>
      </w:r>
      <w:r w:rsidR="000D53C1">
        <w:rPr>
          <w:rFonts w:ascii="Times New Roman" w:hAnsi="Times New Roman" w:cs="Times New Roman"/>
          <w:sz w:val="28"/>
          <w:szCs w:val="28"/>
        </w:rPr>
        <w:t xml:space="preserve"> (копия документа </w:t>
      </w:r>
      <w:r w:rsidR="00691545">
        <w:rPr>
          <w:rFonts w:ascii="Times New Roman" w:hAnsi="Times New Roman" w:cs="Times New Roman"/>
          <w:sz w:val="28"/>
          <w:szCs w:val="28"/>
        </w:rPr>
        <w:t>заверенн</w:t>
      </w:r>
      <w:r w:rsidR="000D53C1">
        <w:rPr>
          <w:rFonts w:ascii="Times New Roman" w:hAnsi="Times New Roman" w:cs="Times New Roman"/>
          <w:sz w:val="28"/>
          <w:szCs w:val="28"/>
        </w:rPr>
        <w:t>ая</w:t>
      </w:r>
      <w:r w:rsidR="00691545">
        <w:rPr>
          <w:rFonts w:ascii="Times New Roman" w:hAnsi="Times New Roman" w:cs="Times New Roman"/>
          <w:sz w:val="28"/>
          <w:szCs w:val="28"/>
        </w:rPr>
        <w:t xml:space="preserve"> нотариально или заверенн</w:t>
      </w:r>
      <w:r w:rsidR="000D53C1">
        <w:rPr>
          <w:rFonts w:ascii="Times New Roman" w:hAnsi="Times New Roman" w:cs="Times New Roman"/>
          <w:sz w:val="28"/>
          <w:szCs w:val="28"/>
        </w:rPr>
        <w:t>ая</w:t>
      </w:r>
      <w:r w:rsidR="00691545">
        <w:rPr>
          <w:rFonts w:ascii="Times New Roman" w:hAnsi="Times New Roman" w:cs="Times New Roman"/>
          <w:sz w:val="28"/>
          <w:szCs w:val="28"/>
        </w:rPr>
        <w:t xml:space="preserve"> органом или организацией составивший (выдавший) этот документ</w:t>
      </w:r>
      <w:r w:rsidR="000D53C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подтверждающий принятие уполномоченным органом управления гаранта (поручителя) решений об одобрении (предоставлении согласия на совершение) сделки по предоставлению банковской гарантии (поручительства) в обеспечение исполнения обязательств принципала (в случаях, установленных законодательством Российской Федерации, учредительными и иными документами гаранта (поручителя).</w:t>
      </w:r>
    </w:p>
    <w:p w:rsidR="00150852" w:rsidRDefault="00096BE4" w:rsidP="00150852">
      <w:pPr>
        <w:rPr>
          <w:rFonts w:ascii="Times New Roman" w:hAnsi="Times New Roman" w:cs="Times New Roman"/>
          <w:sz w:val="28"/>
          <w:szCs w:val="28"/>
        </w:rPr>
      </w:pPr>
      <w:bookmarkStart w:id="4" w:name="sub_4008"/>
      <w:bookmarkEnd w:id="3"/>
      <w:r>
        <w:rPr>
          <w:rFonts w:ascii="Times New Roman" w:hAnsi="Times New Roman" w:cs="Times New Roman"/>
          <w:sz w:val="28"/>
          <w:szCs w:val="28"/>
        </w:rPr>
        <w:t>5</w:t>
      </w:r>
      <w:r w:rsidR="00150852">
        <w:rPr>
          <w:rFonts w:ascii="Times New Roman" w:hAnsi="Times New Roman" w:cs="Times New Roman"/>
          <w:sz w:val="28"/>
          <w:szCs w:val="28"/>
        </w:rPr>
        <w:t>. Справка гаранта (поручителя), содержащая расчет его чистых активов на последнюю отчетную дату.</w:t>
      </w:r>
    </w:p>
    <w:p w:rsidR="00150852" w:rsidRDefault="004E11F9" w:rsidP="00150852">
      <w:pPr>
        <w:rPr>
          <w:rFonts w:ascii="Times New Roman" w:hAnsi="Times New Roman" w:cs="Times New Roman"/>
          <w:sz w:val="28"/>
          <w:szCs w:val="28"/>
        </w:rPr>
      </w:pPr>
      <w:bookmarkStart w:id="5" w:name="sub_40011"/>
      <w:bookmarkEnd w:id="4"/>
      <w:r>
        <w:rPr>
          <w:rFonts w:ascii="Times New Roman" w:hAnsi="Times New Roman" w:cs="Times New Roman"/>
          <w:sz w:val="28"/>
          <w:szCs w:val="28"/>
        </w:rPr>
        <w:t>6</w:t>
      </w:r>
      <w:r w:rsidR="00150852">
        <w:rPr>
          <w:rFonts w:ascii="Times New Roman" w:hAnsi="Times New Roman" w:cs="Times New Roman"/>
          <w:sz w:val="28"/>
          <w:szCs w:val="28"/>
        </w:rPr>
        <w:t xml:space="preserve">. В отношении гаранта дополнительно к документам, указанным в </w:t>
      </w:r>
      <w:hyperlink r:id="rId6" w:anchor="sub_4001" w:history="1">
        <w:r w:rsidR="00150852">
          <w:rPr>
            <w:rStyle w:val="a6"/>
            <w:b w:val="0"/>
            <w:color w:val="auto"/>
            <w:sz w:val="28"/>
            <w:szCs w:val="28"/>
          </w:rPr>
          <w:t xml:space="preserve">пунктах 1 - </w:t>
        </w:r>
        <w:r w:rsidR="00096BE4">
          <w:rPr>
            <w:rStyle w:val="a6"/>
            <w:b w:val="0"/>
            <w:color w:val="auto"/>
            <w:sz w:val="28"/>
            <w:szCs w:val="28"/>
          </w:rPr>
          <w:t>5</w:t>
        </w:r>
      </w:hyperlink>
      <w:r w:rsidR="00150852">
        <w:rPr>
          <w:rFonts w:ascii="Times New Roman" w:hAnsi="Times New Roman" w:cs="Times New Roman"/>
          <w:sz w:val="28"/>
          <w:szCs w:val="28"/>
        </w:rPr>
        <w:t xml:space="preserve"> настоящего Перечня, представляются: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bookmarkStart w:id="6" w:name="sub_1101"/>
      <w:bookmarkEnd w:id="5"/>
      <w:r>
        <w:rPr>
          <w:rFonts w:ascii="Times New Roman" w:hAnsi="Times New Roman" w:cs="Times New Roman"/>
          <w:sz w:val="28"/>
          <w:szCs w:val="28"/>
        </w:rPr>
        <w:t xml:space="preserve">1) нотариально заверенная копия лицензии Центрального банка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на совершение гарантом банковских операций;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bookmarkStart w:id="7" w:name="sub_1102"/>
      <w:bookmarkEnd w:id="6"/>
      <w:r>
        <w:rPr>
          <w:rFonts w:ascii="Times New Roman" w:hAnsi="Times New Roman" w:cs="Times New Roman"/>
          <w:sz w:val="28"/>
          <w:szCs w:val="28"/>
        </w:rPr>
        <w:t>2) документы, подтверждающие согласование Центральным банком Российской Федерации кандидатур уполномоченных должностных лиц;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bookmarkStart w:id="8" w:name="sub_1103"/>
      <w:bookmarkEnd w:id="7"/>
      <w:r>
        <w:rPr>
          <w:rFonts w:ascii="Times New Roman" w:hAnsi="Times New Roman" w:cs="Times New Roman"/>
          <w:sz w:val="28"/>
          <w:szCs w:val="28"/>
        </w:rPr>
        <w:t>3) справка Центрального банка Российской Федерации о выполнении гарантом в течение последнего полугодия обязательных резервных требований Центрального банка Российской Федерации, об отсутствии задержек в оплате расчетных документов, о том, что к гаранту не применяются меры по его финансовому оздоровлению, реорганизации, не назначена временная администрация;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bookmarkStart w:id="9" w:name="sub_1104"/>
      <w:bookmarkEnd w:id="8"/>
      <w:r>
        <w:rPr>
          <w:rFonts w:ascii="Times New Roman" w:hAnsi="Times New Roman" w:cs="Times New Roman"/>
          <w:sz w:val="28"/>
          <w:szCs w:val="28"/>
        </w:rPr>
        <w:t>4) документы для оценки надежности (ликвидности) банковской гарантии:</w:t>
      </w:r>
    </w:p>
    <w:bookmarkEnd w:id="9"/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пояснительной информации к бухгалтерской (финансовой) отчетности;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оборотной ведомости по счетам бухгалтерского учета кредитной организации (с отметками территориального налогового органа о ее принятии либо с подтверждением ее принятия в электронном виде);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отчета о финансовых результатах кредитной организации (с отметками территориального налогового органа о его принятии либо с подтверждением его принятия в электронном виде);</w:t>
      </w:r>
    </w:p>
    <w:p w:rsidR="00F67EB0" w:rsidRDefault="00F67EB0" w:rsidP="00F67E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отчета об уровне достаточности капитала для покрытия рисков, величине резервов на возможные потери по ссудам и иным активам (публикуемой формы);</w:t>
      </w:r>
    </w:p>
    <w:p w:rsidR="00F67EB0" w:rsidRDefault="00F67EB0" w:rsidP="00F67E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сведений об обязательных нормативах и о показателе финансового рычага (публикуемой формы);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заверенная подписью руководителя, главного бухгалтера и печатью гаранта (при наличии печати), о наличии (отсутствии) на последний отчетный период текущего финансового года: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неустраненных фактов нарушения норм законодательства Российской Федерации и (или) нормативных актов Центрального банка Российской Федерации;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неудовлетворенных требований кредиторов и (или) неисполненных требований бенефициаров об уплате денежных сумм по гарантиям;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неустраненных фактов нарушения установленного Центральным банком Российской Федерации порядка обязательного резервирования;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текущих убытков либо превышения использованной прибыли над фактически полученной и (или) непогашенных убытков предшествующих лет;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невыполнения нормативных требований Центрального банка Российской Федерации по созданию системы управления рисками и (или) системы внутреннего контроля кредитной организации;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письма территориального учреждения Центрального банка Российской Федерации об установлении контрольных значений обязательных нормативов и сроке, на который они установлены, а также пояснительная записка о причинах невыполнения обязательных нормативов (представляются кредитной организацией в случае нарушения обязательных нормативов).</w:t>
      </w:r>
    </w:p>
    <w:p w:rsidR="00150852" w:rsidRDefault="004E11F9" w:rsidP="00150852">
      <w:pPr>
        <w:rPr>
          <w:rFonts w:ascii="Times New Roman" w:hAnsi="Times New Roman" w:cs="Times New Roman"/>
          <w:sz w:val="28"/>
          <w:szCs w:val="28"/>
        </w:rPr>
      </w:pPr>
      <w:bookmarkStart w:id="10" w:name="sub_40012"/>
      <w:r>
        <w:rPr>
          <w:rFonts w:ascii="Times New Roman" w:hAnsi="Times New Roman" w:cs="Times New Roman"/>
          <w:sz w:val="28"/>
          <w:szCs w:val="28"/>
        </w:rPr>
        <w:t>7</w:t>
      </w:r>
      <w:r w:rsidR="00150852">
        <w:rPr>
          <w:rFonts w:ascii="Times New Roman" w:hAnsi="Times New Roman" w:cs="Times New Roman"/>
          <w:sz w:val="28"/>
          <w:szCs w:val="28"/>
        </w:rPr>
        <w:t xml:space="preserve">. В отношении поручителя дополнительно к документам, указанным в </w:t>
      </w:r>
      <w:hyperlink r:id="rId7" w:anchor="sub_4001" w:history="1">
        <w:r w:rsidR="00150852">
          <w:rPr>
            <w:rStyle w:val="a6"/>
            <w:b w:val="0"/>
            <w:color w:val="auto"/>
            <w:sz w:val="28"/>
            <w:szCs w:val="28"/>
          </w:rPr>
          <w:t xml:space="preserve">пунктах 1 - </w:t>
        </w:r>
        <w:r w:rsidR="00096BE4">
          <w:rPr>
            <w:rStyle w:val="a6"/>
            <w:b w:val="0"/>
            <w:color w:val="auto"/>
            <w:sz w:val="28"/>
            <w:szCs w:val="28"/>
          </w:rPr>
          <w:t>5</w:t>
        </w:r>
      </w:hyperlink>
      <w:r w:rsidR="00150852">
        <w:rPr>
          <w:rFonts w:ascii="Times New Roman" w:hAnsi="Times New Roman" w:cs="Times New Roman"/>
          <w:sz w:val="28"/>
          <w:szCs w:val="28"/>
        </w:rPr>
        <w:t xml:space="preserve"> настоящего Перечня, представляются документы для оценки надежности (ликвидности) поручительства:</w:t>
      </w:r>
    </w:p>
    <w:bookmarkEnd w:id="10"/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расшифровка данных о заемных средствах, заверенная подписями руководителя, главного бухгалтера и печатью поручителя (при наличии печати), за последние два года, предшествующие году подачи принципалом заявления, и последний отчетный период текущего финансового года с указанием кредиторов, величины долга, дат получения и погашения кредитов, сумм просроченных обязательств, включая проценты, пени (данная расшифровка представляется при наличии у поручителя заемных средств на соответствующую отчетную дату);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наличии (отсутствии) просроченной кредиторской и дебиторской задолженности, заверенная подписями руководителя, главного бухгалтера и печатью поручителя (при наличии печати), за последние два года, предшествующие году подачи принципалом заявления, и последний отчетный период текущего финансового года, с указанием сроков ее образования;</w:t>
      </w: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объеме краткосрочной дебиторской задолженности (платежи по которой ожидаются в течение 12 месяцев после отчетной даты) либо об ее отсутствии, заверенная подписями руководителя, главного бухгалтера и печатью поручителя (при наличии печати) за последние два года, предшествующие году подачи принципалом заявления, и последний отчетный период текущего финансового года.</w:t>
      </w:r>
    </w:p>
    <w:p w:rsidR="003029E3" w:rsidRDefault="003029E3" w:rsidP="003029E3">
      <w:pPr>
        <w:rPr>
          <w:rFonts w:ascii="Times New Roman" w:hAnsi="Times New Roman" w:cs="Times New Roman"/>
          <w:sz w:val="28"/>
          <w:szCs w:val="28"/>
        </w:rPr>
      </w:pPr>
      <w:bookmarkStart w:id="11" w:name="sub_1008"/>
      <w:r>
        <w:rPr>
          <w:rFonts w:ascii="Times New Roman" w:hAnsi="Times New Roman" w:cs="Times New Roman"/>
          <w:sz w:val="28"/>
          <w:szCs w:val="28"/>
        </w:rPr>
        <w:t>Принципал по собственной инициативе вправе предоставить следующие документы:</w:t>
      </w:r>
    </w:p>
    <w:p w:rsidR="004E11F9" w:rsidRPr="00D341C9" w:rsidRDefault="004E11F9" w:rsidP="004E11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341C9">
        <w:rPr>
          <w:rFonts w:ascii="Times New Roman" w:hAnsi="Times New Roman" w:cs="Times New Roman"/>
          <w:sz w:val="28"/>
          <w:szCs w:val="28"/>
        </w:rPr>
        <w:t>. Справка заявителя об отсутствии у заявителя просроченной задолженности по денежным обязательствам перед муниципальным образованием Тимашевский район, а также неурегулированных обязательств по муниципальным гарантиям, ранее предоставленным, на дату подачи заявителем заявления.</w:t>
      </w:r>
    </w:p>
    <w:p w:rsidR="004E11F9" w:rsidRPr="006C14F2" w:rsidRDefault="004E11F9" w:rsidP="004E11F9">
      <w:pPr>
        <w:rPr>
          <w:rFonts w:ascii="Times New Roman" w:hAnsi="Times New Roman" w:cs="Times New Roman"/>
          <w:sz w:val="28"/>
          <w:szCs w:val="28"/>
        </w:rPr>
      </w:pPr>
      <w:bookmarkStart w:id="12" w:name="sub_1010"/>
      <w:bookmarkEnd w:id="11"/>
      <w:r>
        <w:rPr>
          <w:rFonts w:ascii="Times New Roman" w:hAnsi="Times New Roman" w:cs="Times New Roman"/>
          <w:sz w:val="28"/>
          <w:szCs w:val="28"/>
        </w:rPr>
        <w:t>2</w:t>
      </w:r>
      <w:r w:rsidRPr="00D341C9">
        <w:rPr>
          <w:rFonts w:ascii="Times New Roman" w:hAnsi="Times New Roman" w:cs="Times New Roman"/>
          <w:sz w:val="28"/>
          <w:szCs w:val="28"/>
        </w:rPr>
        <w:t xml:space="preserve">. Справка заявителя на дату подачи заявителем заявления о том, что в отношении него не возбуждено дело о несостоятельности (банкротстве) в установленном </w:t>
      </w:r>
      <w:hyperlink r:id="rId8" w:history="1">
        <w:r w:rsidRPr="004E11F9">
          <w:rPr>
            <w:rStyle w:val="a6"/>
            <w:b w:val="0"/>
            <w:color w:val="auto"/>
            <w:sz w:val="28"/>
            <w:szCs w:val="28"/>
          </w:rPr>
          <w:t>законодательством</w:t>
        </w:r>
      </w:hyperlink>
      <w:r w:rsidRPr="00D341C9">
        <w:rPr>
          <w:rFonts w:ascii="Times New Roman" w:hAnsi="Times New Roman" w:cs="Times New Roman"/>
          <w:sz w:val="28"/>
          <w:szCs w:val="28"/>
        </w:rPr>
        <w:t xml:space="preserve"> Российской Федерации о несостоятельности (банкротстве) порядке.</w:t>
      </w:r>
    </w:p>
    <w:p w:rsidR="004E11F9" w:rsidRPr="006C14F2" w:rsidRDefault="004E11F9" w:rsidP="004E11F9">
      <w:pPr>
        <w:rPr>
          <w:rFonts w:ascii="Times New Roman" w:hAnsi="Times New Roman" w:cs="Times New Roman"/>
          <w:sz w:val="28"/>
          <w:szCs w:val="28"/>
        </w:rPr>
      </w:pPr>
      <w:bookmarkStart w:id="13" w:name="sub_1012"/>
      <w:bookmarkEnd w:id="12"/>
      <w:r>
        <w:rPr>
          <w:rFonts w:ascii="Times New Roman" w:hAnsi="Times New Roman" w:cs="Times New Roman"/>
          <w:sz w:val="28"/>
          <w:szCs w:val="28"/>
        </w:rPr>
        <w:t>3</w:t>
      </w:r>
      <w:r w:rsidRPr="006C14F2">
        <w:rPr>
          <w:rFonts w:ascii="Times New Roman" w:hAnsi="Times New Roman" w:cs="Times New Roman"/>
          <w:sz w:val="28"/>
          <w:szCs w:val="28"/>
        </w:rPr>
        <w:t xml:space="preserve">. Справка налогового органа на дату не ранее 20 рабочих дней до даты подачи заявителем заявления, а также справки 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территориального органа Пенсионного фонда Российской Федерации и территориального органа Фонда социального страхования Российской Федерации  </w:t>
      </w:r>
      <w:r w:rsidRPr="006C14F2">
        <w:rPr>
          <w:rFonts w:ascii="Times New Roman" w:hAnsi="Times New Roman" w:cs="Times New Roman"/>
          <w:sz w:val="28"/>
          <w:szCs w:val="28"/>
        </w:rPr>
        <w:t>на последнюю отчетную дату, предшествующую дате подачи заявления, о состоянии расчетов заявителя по налогам, сборам и иным обязательным платежам в бюджеты бюджетной системы Российской Федерации, подтверждающие отсутствие недоимки по уплате налогов, сборов, обязательных платежей, а также задолженности по уплате процентов за пользование бюджетными средствами, пеней, штрафов и иных финансовых санкций.</w:t>
      </w:r>
    </w:p>
    <w:bookmarkEnd w:id="13"/>
    <w:p w:rsidR="004E11F9" w:rsidRPr="006C14F2" w:rsidRDefault="004E11F9" w:rsidP="004E11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C14F2">
        <w:rPr>
          <w:rFonts w:ascii="Times New Roman" w:hAnsi="Times New Roman" w:cs="Times New Roman"/>
          <w:sz w:val="28"/>
          <w:szCs w:val="28"/>
        </w:rPr>
        <w:t xml:space="preserve">. Документы для анализа финансового состояния заявителя (в случае, когда законодательством Российской Федерации предусмотрено проведение </w:t>
      </w:r>
      <w:r w:rsidRPr="006C14F2">
        <w:rPr>
          <w:rFonts w:ascii="Times New Roman" w:hAnsi="Times New Roman" w:cs="Times New Roman"/>
          <w:sz w:val="28"/>
          <w:szCs w:val="28"/>
        </w:rPr>
        <w:lastRenderedPageBreak/>
        <w:t>анализа финансового состояния принципала):</w:t>
      </w:r>
    </w:p>
    <w:p w:rsidR="004E11F9" w:rsidRPr="006C14F2" w:rsidRDefault="004E11F9" w:rsidP="004E11F9">
      <w:pPr>
        <w:rPr>
          <w:rFonts w:ascii="Times New Roman" w:hAnsi="Times New Roman" w:cs="Times New Roman"/>
          <w:sz w:val="28"/>
          <w:szCs w:val="28"/>
        </w:rPr>
      </w:pPr>
      <w:bookmarkStart w:id="14" w:name="sub_1201"/>
      <w:r w:rsidRPr="006C14F2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заверенные нотариально или заверенные органом или организацией составивший (выдавший) этот документ</w:t>
      </w:r>
      <w:r w:rsidRPr="006C14F2">
        <w:rPr>
          <w:rFonts w:ascii="Times New Roman" w:hAnsi="Times New Roman" w:cs="Times New Roman"/>
          <w:sz w:val="28"/>
          <w:szCs w:val="28"/>
        </w:rPr>
        <w:t xml:space="preserve"> копии следующих форм годовой бухгалтерской (финансовой) отчетности за последние два года, предшествующие году подачи заявления, с отметкой территориального налогового органа об их принятии (либо с подтверждением их принятия в электронном виде): </w:t>
      </w:r>
      <w:hyperlink r:id="rId9" w:history="1">
        <w:r w:rsidRPr="004E11F9">
          <w:rPr>
            <w:rStyle w:val="a6"/>
            <w:b w:val="0"/>
            <w:color w:val="auto"/>
            <w:sz w:val="28"/>
            <w:szCs w:val="28"/>
          </w:rPr>
          <w:t>бухгалтерского баланса</w:t>
        </w:r>
      </w:hyperlink>
      <w:r w:rsidRPr="004E11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1F9">
        <w:rPr>
          <w:rFonts w:ascii="Times New Roman" w:hAnsi="Times New Roman" w:cs="Times New Roman"/>
          <w:sz w:val="28"/>
          <w:szCs w:val="28"/>
        </w:rPr>
        <w:t xml:space="preserve"> от</w:t>
      </w:r>
      <w:r w:rsidRPr="006C14F2">
        <w:rPr>
          <w:rFonts w:ascii="Times New Roman" w:hAnsi="Times New Roman" w:cs="Times New Roman"/>
          <w:sz w:val="28"/>
          <w:szCs w:val="28"/>
        </w:rPr>
        <w:t>чета о финансовых результатах, отчета о движении денежных средств (если обязанность их составления установлена в соответствии с законодательством Российской Федерации);</w:t>
      </w:r>
    </w:p>
    <w:p w:rsidR="004E11F9" w:rsidRDefault="004E11F9" w:rsidP="004E11F9">
      <w:pPr>
        <w:rPr>
          <w:rFonts w:ascii="Times New Roman" w:hAnsi="Times New Roman" w:cs="Times New Roman"/>
          <w:sz w:val="28"/>
          <w:szCs w:val="28"/>
        </w:rPr>
      </w:pPr>
      <w:bookmarkStart w:id="15" w:name="sub_1202"/>
      <w:bookmarkEnd w:id="14"/>
      <w:r w:rsidRPr="006C14F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 заверенные нотариально или заверенные органом или организацией составивший (выдавший) этот документ</w:t>
      </w:r>
      <w:r w:rsidRPr="006C14F2">
        <w:rPr>
          <w:rFonts w:ascii="Times New Roman" w:hAnsi="Times New Roman" w:cs="Times New Roman"/>
          <w:sz w:val="28"/>
          <w:szCs w:val="28"/>
        </w:rPr>
        <w:t xml:space="preserve"> копии бухгалтерской (финансовой) отчетности за последний отчетный период текущего года, предшествующий дате подаче документов, в объеме, установленном для отчетности на промежуточные даты внутри финансового года, с отметками налогового органа об их принятии (либо с подтверждением их принятия в электронном виде) (если обязанность их составления установлена в соответствии с законодательством Российской Федерации)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11F9" w:rsidRDefault="004E11F9" w:rsidP="004E11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Документы для анализа финансового состояния заявителя - кредитной организации:</w:t>
      </w:r>
    </w:p>
    <w:bookmarkEnd w:id="15"/>
    <w:p w:rsidR="004E11F9" w:rsidRDefault="004E11F9" w:rsidP="004E11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отчета о финансовых результатах (публикуемой формы);</w:t>
      </w:r>
    </w:p>
    <w:p w:rsidR="004E11F9" w:rsidRDefault="004E11F9" w:rsidP="004E11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заверенные нотариально или заверенные органом или организацией составивший (выдавший) этот документ копий бухгалтерской (финансовой) отчетности за последние два года, предшествующие году подачи заявления, а также за последний отчетный период текущего года, предшествующий дате подачи документов.</w:t>
      </w:r>
    </w:p>
    <w:p w:rsidR="00C11E82" w:rsidRDefault="00C11E82" w:rsidP="00C11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Заверенные нотариально или заверенные органом или организацией составивший (выдавший) этот документ копии аудиторских заключений о достоверности годовой бухгалтерской (финансовой) отчетности гаранта (поручителя) за последние два финансовых года, если данная отчетность в соответствии с законодательством Российской Федерации подлежит обязательному аудиту.</w:t>
      </w:r>
    </w:p>
    <w:p w:rsidR="004E11F9" w:rsidRDefault="004E11F9" w:rsidP="00150852">
      <w:pPr>
        <w:rPr>
          <w:rFonts w:ascii="Times New Roman" w:hAnsi="Times New Roman" w:cs="Times New Roman"/>
          <w:sz w:val="28"/>
          <w:szCs w:val="28"/>
        </w:rPr>
      </w:pPr>
    </w:p>
    <w:p w:rsidR="00150852" w:rsidRDefault="00150852" w:rsidP="0015085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3116" w:type="dxa"/>
        <w:tblInd w:w="108" w:type="dxa"/>
        <w:tblLook w:val="04A0"/>
      </w:tblPr>
      <w:tblGrid>
        <w:gridCol w:w="9923"/>
        <w:gridCol w:w="3193"/>
      </w:tblGrid>
      <w:tr w:rsidR="00150852" w:rsidTr="00150852">
        <w:tc>
          <w:tcPr>
            <w:tcW w:w="9923" w:type="dxa"/>
          </w:tcPr>
          <w:p w:rsidR="00150852" w:rsidRDefault="0015085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150852" w:rsidRDefault="0015085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50852" w:rsidRDefault="0015085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Тимашевскийрайон                                                                                   И.Б. Репях</w:t>
            </w:r>
          </w:p>
          <w:p w:rsidR="00150852" w:rsidRDefault="00150852">
            <w:pPr>
              <w:ind w:firstLine="0"/>
              <w:jc w:val="left"/>
              <w:rPr>
                <w:rStyle w:val="a5"/>
                <w:bCs/>
              </w:rPr>
            </w:pPr>
          </w:p>
          <w:p w:rsidR="00096BE4" w:rsidRDefault="00096BE4" w:rsidP="00096B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E4" w:rsidRDefault="00096BE4" w:rsidP="00096B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E4" w:rsidRDefault="00096BE4" w:rsidP="00096B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E4" w:rsidRDefault="00096BE4" w:rsidP="00096B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E4" w:rsidRDefault="00096BE4" w:rsidP="00096B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E4" w:rsidRDefault="00096BE4" w:rsidP="00096B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E4" w:rsidRDefault="00096BE4" w:rsidP="00096B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852" w:rsidRDefault="00150852" w:rsidP="004E11F9">
            <w:pPr>
              <w:rPr>
                <w:rFonts w:eastAsiaTheme="minorEastAsia"/>
              </w:rPr>
            </w:pPr>
          </w:p>
        </w:tc>
        <w:tc>
          <w:tcPr>
            <w:tcW w:w="3193" w:type="dxa"/>
          </w:tcPr>
          <w:p w:rsidR="00150852" w:rsidRDefault="00150852">
            <w:pPr>
              <w:pStyle w:val="a3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  <w:p w:rsidR="00150852" w:rsidRDefault="00150852">
            <w:pPr>
              <w:rPr>
                <w:rFonts w:eastAsiaTheme="minorEastAsia"/>
              </w:rPr>
            </w:pPr>
          </w:p>
        </w:tc>
      </w:tr>
    </w:tbl>
    <w:p w:rsidR="00D23EEA" w:rsidRDefault="00D23EEA" w:rsidP="000A50F4"/>
    <w:sectPr w:rsidR="00D23EEA" w:rsidSect="0015085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014" w:rsidRDefault="00F95014" w:rsidP="00150852">
      <w:r>
        <w:separator/>
      </w:r>
    </w:p>
  </w:endnote>
  <w:endnote w:type="continuationSeparator" w:id="0">
    <w:p w:rsidR="00F95014" w:rsidRDefault="00F95014" w:rsidP="00150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014" w:rsidRDefault="00F95014" w:rsidP="00150852">
      <w:r>
        <w:separator/>
      </w:r>
    </w:p>
  </w:footnote>
  <w:footnote w:type="continuationSeparator" w:id="0">
    <w:p w:rsidR="00F95014" w:rsidRDefault="00F95014" w:rsidP="001508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852" w:rsidRDefault="00311F54">
    <w:pPr>
      <w:pStyle w:val="a7"/>
      <w:jc w:val="center"/>
    </w:pPr>
    <w:fldSimple w:instr=" PAGE   \* MERGEFORMAT ">
      <w:r w:rsidR="00F67EB0">
        <w:rPr>
          <w:noProof/>
        </w:rPr>
        <w:t>5</w:t>
      </w:r>
    </w:fldSimple>
  </w:p>
  <w:p w:rsidR="00150852" w:rsidRDefault="0015085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852"/>
    <w:rsid w:val="00037C23"/>
    <w:rsid w:val="00086FA5"/>
    <w:rsid w:val="00096BE4"/>
    <w:rsid w:val="000A50F4"/>
    <w:rsid w:val="000D53C1"/>
    <w:rsid w:val="001450E7"/>
    <w:rsid w:val="00150852"/>
    <w:rsid w:val="001A2528"/>
    <w:rsid w:val="001B47F3"/>
    <w:rsid w:val="003018CC"/>
    <w:rsid w:val="003029E3"/>
    <w:rsid w:val="00311F54"/>
    <w:rsid w:val="00347C9C"/>
    <w:rsid w:val="00360D3C"/>
    <w:rsid w:val="004E11F9"/>
    <w:rsid w:val="00530564"/>
    <w:rsid w:val="0058641E"/>
    <w:rsid w:val="00624091"/>
    <w:rsid w:val="006328A5"/>
    <w:rsid w:val="00691545"/>
    <w:rsid w:val="006E3B30"/>
    <w:rsid w:val="008B704E"/>
    <w:rsid w:val="00903301"/>
    <w:rsid w:val="009814D4"/>
    <w:rsid w:val="00982600"/>
    <w:rsid w:val="00A776CD"/>
    <w:rsid w:val="00BA0D96"/>
    <w:rsid w:val="00C11E82"/>
    <w:rsid w:val="00C85BE4"/>
    <w:rsid w:val="00D23EEA"/>
    <w:rsid w:val="00D55F4C"/>
    <w:rsid w:val="00F5346F"/>
    <w:rsid w:val="00F67EB0"/>
    <w:rsid w:val="00F94C7F"/>
    <w:rsid w:val="00F9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8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5085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0852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150852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150852"/>
    <w:pPr>
      <w:ind w:firstLine="0"/>
      <w:jc w:val="left"/>
    </w:pPr>
  </w:style>
  <w:style w:type="character" w:customStyle="1" w:styleId="a5">
    <w:name w:val="Цветовое выделение"/>
    <w:uiPriority w:val="99"/>
    <w:rsid w:val="00150852"/>
    <w:rPr>
      <w:b/>
      <w:bCs w:val="0"/>
      <w:color w:val="26282F"/>
    </w:rPr>
  </w:style>
  <w:style w:type="character" w:customStyle="1" w:styleId="a6">
    <w:name w:val="Гипертекстовая ссылка"/>
    <w:basedOn w:val="a5"/>
    <w:uiPriority w:val="99"/>
    <w:rsid w:val="00150852"/>
    <w:rPr>
      <w:rFonts w:ascii="Times New Roman" w:hAnsi="Times New Roman" w:cs="Times New Roman" w:hint="default"/>
      <w:bCs/>
      <w:color w:val="106BBE"/>
    </w:rPr>
  </w:style>
  <w:style w:type="paragraph" w:styleId="a7">
    <w:name w:val="header"/>
    <w:basedOn w:val="a"/>
    <w:link w:val="a8"/>
    <w:uiPriority w:val="99"/>
    <w:unhideWhenUsed/>
    <w:rsid w:val="001508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5085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508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0852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85181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D:\&#1056;&#1072;&#1073;&#1086;&#1095;&#1080;&#1077;%20&#1087;&#1072;&#1087;&#1082;&#1080;%20&#1102;&#1088;&#1080;&#1089;&#1090;&#1072;\&#1087;&#1086;&#1089;&#1090;&#1072;&#1085;&#1086;&#1074;&#1083;&#1077;&#1085;&#1080;&#1103;%20&#1075;&#1083;&#1072;&#1074;&#1099;\&#1055;&#1086;&#1089;&#1090;&#1072;&#1085;&#1086;&#1074;&#1083;&#1077;&#1085;&#1080;&#1103;%202018\&#1087;&#1088;&#1080;&#1083;&#1086;&#1078;&#1077;&#1085;&#1080;&#1103;%20&#1082;%20&#1087;&#1086;&#1089;&#1090;&#1072;&#1085;&#1086;&#1074;&#1083;&#1077;&#1085;&#1080;&#1102;.rt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6;&#1072;&#1073;&#1086;&#1095;&#1080;&#1077;%20&#1087;&#1072;&#1087;&#1082;&#1080;%20&#1102;&#1088;&#1080;&#1089;&#1090;&#1072;\&#1087;&#1086;&#1089;&#1090;&#1072;&#1085;&#1086;&#1074;&#1083;&#1077;&#1085;&#1080;&#1103;%20&#1075;&#1083;&#1072;&#1074;&#1099;\&#1055;&#1086;&#1089;&#1090;&#1072;&#1085;&#1086;&#1074;&#1083;&#1077;&#1085;&#1080;&#1103;%202018\&#1087;&#1088;&#1080;&#1083;&#1086;&#1078;&#1077;&#1085;&#1080;&#1103;%20&#1082;%20&#1087;&#1086;&#1089;&#1090;&#1072;&#1085;&#1086;&#1074;&#1083;&#1077;&#1085;&#1080;&#1102;.rt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?id=12077762&amp;sub=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1466</Words>
  <Characters>8360</Characters>
  <Application>Microsoft Office Word</Application>
  <DocSecurity>0</DocSecurity>
  <Lines>69</Lines>
  <Paragraphs>19</Paragraphs>
  <ScaleCrop>false</ScaleCrop>
  <Company/>
  <LinksUpToDate>false</LinksUpToDate>
  <CharactersWithSpaces>9807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Vanurihina_MV</dc:creator>
  <cp:keywords/>
  <dc:description/>
  <cp:lastModifiedBy>Vanurihina_MV</cp:lastModifiedBy>
  <cp:revision>19</cp:revision>
  <dcterms:created xsi:type="dcterms:W3CDTF">2018-02-13T04:58:00Z</dcterms:created>
  <dcterms:modified xsi:type="dcterms:W3CDTF">2018-04-02T06:22:00Z</dcterms:modified>
</cp:coreProperties>
</file>