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</w:t>
            </w:r>
            <w:r w:rsidR="00E36CAF">
              <w:rPr>
                <w:sz w:val="28"/>
                <w:szCs w:val="28"/>
              </w:rPr>
              <w:t>риложение</w:t>
            </w:r>
            <w:r w:rsidRPr="00102C39">
              <w:rPr>
                <w:sz w:val="28"/>
                <w:szCs w:val="28"/>
              </w:rPr>
              <w:t xml:space="preserve"> 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102C39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Pr="00102C39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1178B0">
              <w:rPr>
                <w:sz w:val="28"/>
                <w:szCs w:val="28"/>
              </w:rPr>
              <w:t>25.12.2020 г.</w:t>
            </w:r>
            <w:r w:rsidR="00E047E7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9F5EE2">
              <w:rPr>
                <w:sz w:val="28"/>
                <w:szCs w:val="28"/>
              </w:rPr>
              <w:t xml:space="preserve"> №</w:t>
            </w:r>
            <w:r w:rsidR="00E047E7">
              <w:rPr>
                <w:sz w:val="28"/>
                <w:szCs w:val="28"/>
              </w:rPr>
              <w:t xml:space="preserve"> </w:t>
            </w:r>
            <w:r w:rsidR="001178B0">
              <w:rPr>
                <w:sz w:val="28"/>
                <w:szCs w:val="28"/>
              </w:rPr>
              <w:t>42</w:t>
            </w:r>
            <w:r w:rsidRPr="009F5EE2">
              <w:rPr>
                <w:sz w:val="28"/>
                <w:szCs w:val="28"/>
              </w:rPr>
              <w:t xml:space="preserve"> </w:t>
            </w: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000 1 08 07150 01 4000 110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   (прочие поступления)</w:t>
            </w:r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>1 08 07174 01 1000 110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A23A2">
              <w:rPr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 xml:space="preserve">1 08 07174 01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9A23A2">
              <w:rPr>
                <w:color w:val="000000"/>
                <w:sz w:val="28"/>
                <w:szCs w:val="28"/>
              </w:rPr>
              <w:t>000 110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 w:rsidRPr="009A23A2">
              <w:rPr>
                <w:color w:val="000000"/>
                <w:sz w:val="28"/>
                <w:szCs w:val="28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</w:t>
            </w:r>
            <w:r w:rsidRPr="009A23A2">
              <w:rPr>
                <w:color w:val="000000"/>
                <w:sz w:val="28"/>
                <w:szCs w:val="28"/>
              </w:rPr>
              <w:lastRenderedPageBreak/>
              <w:t>тяжеловесных и (или) крупногабаритных грузов, зачисляемая в бюджеты муниципальных районов (</w:t>
            </w:r>
            <w:r>
              <w:rPr>
                <w:color w:val="000000"/>
                <w:sz w:val="28"/>
                <w:szCs w:val="28"/>
              </w:rPr>
              <w:t>прочие поступления</w:t>
            </w:r>
            <w:r w:rsidRPr="009A23A2">
              <w:rPr>
                <w:color w:val="000000"/>
                <w:sz w:val="28"/>
                <w:szCs w:val="28"/>
              </w:rPr>
              <w:t>)</w:t>
            </w:r>
          </w:p>
          <w:p w:rsidR="00A36966" w:rsidRPr="009A23A2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2755C4">
        <w:trPr>
          <w:trHeight w:val="447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05 0023 120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9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2755C4">
        <w:trPr>
          <w:trHeight w:val="405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405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</w:t>
            </w:r>
            <w:r>
              <w:rPr>
                <w:color w:val="000000"/>
                <w:sz w:val="28"/>
                <w:szCs w:val="28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2755C4">
        <w:trPr>
          <w:trHeight w:val="259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85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000 1 11 05035 05 0042 120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</w:t>
            </w:r>
            <w:r>
              <w:rPr>
                <w:color w:val="000000"/>
                <w:sz w:val="28"/>
                <w:szCs w:val="28"/>
              </w:rPr>
              <w:lastRenderedPageBreak/>
              <w:t>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591C95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000 1 14 06013 05</w:t>
            </w:r>
            <w:r w:rsidRPr="00591C95">
              <w:rPr>
                <w:color w:val="000000"/>
                <w:sz w:val="28"/>
                <w:szCs w:val="28"/>
              </w:rPr>
              <w:t xml:space="preserve"> 0021 430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 w:rsidRPr="00591C95">
              <w:rPr>
                <w:color w:val="000000"/>
                <w:sz w:val="28"/>
                <w:szCs w:val="28"/>
              </w:rPr>
              <w:t xml:space="preserve"> (без проведения торгов)</w:t>
            </w:r>
          </w:p>
          <w:p w:rsidR="00A36966" w:rsidRPr="00591C95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30"/>
        </w:trPr>
        <w:tc>
          <w:tcPr>
            <w:tcW w:w="3700" w:type="dxa"/>
            <w:hideMark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000 1 14 06013 </w:t>
            </w:r>
            <w:r>
              <w:rPr>
                <w:color w:val="000000"/>
                <w:sz w:val="28"/>
                <w:szCs w:val="28"/>
              </w:rPr>
              <w:t>05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</w:t>
            </w:r>
            <w:r>
              <w:rPr>
                <w:color w:val="000000"/>
                <w:sz w:val="28"/>
                <w:szCs w:val="28"/>
              </w:rPr>
              <w:t>и межселенных территорий муниципальных районов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000 1 14 06013 13 0026 430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25"/>
        </w:trPr>
        <w:tc>
          <w:tcPr>
            <w:tcW w:w="3700" w:type="dxa"/>
            <w:hideMark/>
          </w:tcPr>
          <w:p w:rsidR="00A36966" w:rsidRPr="004C19BB" w:rsidRDefault="00A36966" w:rsidP="002350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235029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05 0011 140</w:t>
            </w:r>
          </w:p>
        </w:tc>
        <w:tc>
          <w:tcPr>
            <w:tcW w:w="6040" w:type="dxa"/>
            <w:hideMark/>
          </w:tcPr>
          <w:p w:rsidR="00A36966" w:rsidRPr="00192572" w:rsidRDefault="005114C1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  (пени, штрафы, неустойки за нарушение условий договоров аренды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05 0012 140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92572" w:rsidRDefault="005D7618" w:rsidP="001A51D1">
            <w:pPr>
              <w:rPr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lastRenderedPageBreak/>
              <w:t xml:space="preserve">Иные штрафы, неустойки, пени, уплаченные в </w:t>
            </w:r>
            <w:r w:rsidRPr="005114C1">
              <w:rPr>
                <w:color w:val="000000"/>
                <w:sz w:val="28"/>
                <w:szCs w:val="28"/>
              </w:rPr>
              <w:lastRenderedPageBreak/>
              <w:t>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sz w:val="28"/>
                <w:szCs w:val="28"/>
              </w:rPr>
              <w:t xml:space="preserve"> </w:t>
            </w:r>
            <w:r w:rsidR="00A36966" w:rsidRPr="00192572">
              <w:rPr>
                <w:sz w:val="28"/>
                <w:szCs w:val="28"/>
              </w:rPr>
              <w:t>(пени, штрафы, неустойки  за нарушение условий договоров аренды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825"/>
        </w:trPr>
        <w:tc>
          <w:tcPr>
            <w:tcW w:w="3700" w:type="dxa"/>
            <w:hideMark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05 0021 140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192572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color w:val="000000"/>
                <w:sz w:val="28"/>
                <w:szCs w:val="28"/>
              </w:rPr>
              <w:t xml:space="preserve"> 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(пени, штрафы, неустойки  за нарушение условий договоров аренды имущества, находящегося  в оперативном управлении органов управления муниципальных районов и созданных ими учреждений </w:t>
            </w:r>
            <w:r w:rsidR="00A36966">
              <w:rPr>
                <w:color w:val="000000"/>
                <w:sz w:val="28"/>
                <w:szCs w:val="28"/>
              </w:rPr>
              <w:t>и хозяйственном ведении муниципальных унитарных предприятий)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C5D6F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C5D6F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C5D6F">
              <w:rPr>
                <w:color w:val="000000"/>
                <w:sz w:val="28"/>
                <w:szCs w:val="28"/>
              </w:rPr>
              <w:t xml:space="preserve"> 05 0022 140</w:t>
            </w:r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C5D6F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C5D6F">
              <w:rPr>
                <w:color w:val="000000"/>
                <w:sz w:val="28"/>
                <w:szCs w:val="28"/>
              </w:rPr>
              <w:t xml:space="preserve"> </w:t>
            </w:r>
            <w:r w:rsidR="00A36966" w:rsidRPr="001C5D6F">
              <w:rPr>
                <w:color w:val="000000"/>
                <w:sz w:val="28"/>
                <w:szCs w:val="28"/>
              </w:rPr>
              <w:t>(пени, штрафы, неустойки  за нарушение условий договоров аренды имущества, составляющего казну муниципальных районов (за исключением земельных участков)</w:t>
            </w:r>
            <w:proofErr w:type="gramEnd"/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05 0023 140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(пени, штрафы, неустойки  за нарушение условий договоров </w:t>
            </w:r>
            <w:r w:rsidR="00A36966" w:rsidRPr="007F0363">
              <w:rPr>
                <w:color w:val="000000"/>
                <w:sz w:val="28"/>
                <w:szCs w:val="28"/>
              </w:rPr>
              <w:lastRenderedPageBreak/>
              <w:t>аренды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, государственная </w:t>
            </w:r>
            <w:proofErr w:type="gramStart"/>
            <w:r w:rsidR="00A36966" w:rsidRPr="007F0363">
              <w:rPr>
                <w:color w:val="000000"/>
                <w:sz w:val="28"/>
                <w:szCs w:val="28"/>
              </w:rPr>
              <w:t>собственность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 на которые не разграничена и которые расположены в границах сельских поселений и межселенных территорий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2755C4">
        <w:trPr>
          <w:trHeight w:val="388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05 0032 140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>, находящихся в собственности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05 0041 140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(суммы неосновательного обогащения и проценты за пользование денежными средствами  за использование земельных участков без соответствующих документов)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5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05 0051 140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rFonts w:ascii="TimesNewRomanPSMT" w:hAnsi="TimesNewRomanPSMT" w:cs="Arial CYR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rFonts w:ascii="TimesNewRomanPSMT" w:hAnsi="TimesNewRomanPSMT" w:cs="Arial CYR"/>
                <w:sz w:val="28"/>
                <w:szCs w:val="28"/>
              </w:rPr>
              <w:t xml:space="preserve"> (иные поступления от денежных взысканий (штрафов)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000 1 17 05050 05 0032 180</w:t>
            </w: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90"/>
        </w:trPr>
        <w:tc>
          <w:tcPr>
            <w:tcW w:w="370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3160F6" w:rsidRDefault="003160F6" w:rsidP="000B2CC4">
      <w:pPr>
        <w:rPr>
          <w:sz w:val="28"/>
          <w:szCs w:val="28"/>
        </w:rPr>
      </w:pPr>
    </w:p>
    <w:p w:rsidR="002E2441" w:rsidRDefault="002E2441" w:rsidP="000B2CC4">
      <w:pPr>
        <w:rPr>
          <w:sz w:val="28"/>
          <w:szCs w:val="28"/>
        </w:rPr>
      </w:pPr>
    </w:p>
    <w:p w:rsidR="002E2441" w:rsidRDefault="002E2441" w:rsidP="000B2CC4">
      <w:pPr>
        <w:rPr>
          <w:sz w:val="28"/>
          <w:szCs w:val="28"/>
        </w:rPr>
      </w:pPr>
    </w:p>
    <w:p w:rsidR="002E2441" w:rsidRDefault="002E2441" w:rsidP="000B2CC4">
      <w:pPr>
        <w:rPr>
          <w:sz w:val="28"/>
          <w:szCs w:val="28"/>
        </w:rPr>
      </w:pP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управления,</w:t>
      </w:r>
    </w:p>
    <w:p w:rsidR="003E0076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B68A2"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чальник</w:t>
      </w:r>
      <w:r w:rsidR="005B68A2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отраслевого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финансирования и доходов бюджета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</w:t>
      </w:r>
    </w:p>
    <w:p w:rsidR="004E7E9D" w:rsidRDefault="004E7E9D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43320" w:rsidRDefault="00783237">
      <w:proofErr w:type="spellStart"/>
      <w:r w:rsidRPr="00783237">
        <w:rPr>
          <w:sz w:val="28"/>
          <w:szCs w:val="28"/>
        </w:rPr>
        <w:t>Тимашевский</w:t>
      </w:r>
      <w:proofErr w:type="spellEnd"/>
      <w:r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</w:t>
      </w:r>
      <w:r w:rsidR="004E7E9D">
        <w:rPr>
          <w:sz w:val="28"/>
          <w:szCs w:val="28"/>
        </w:rPr>
        <w:t xml:space="preserve">                                   </w:t>
      </w:r>
      <w:r w:rsidR="003E0076"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</w:t>
      </w:r>
      <w:r w:rsidR="005B68A2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</w:t>
      </w:r>
      <w:r w:rsidR="004E7E9D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        </w:t>
      </w:r>
      <w:r w:rsidR="00E464F4">
        <w:rPr>
          <w:sz w:val="28"/>
          <w:szCs w:val="28"/>
        </w:rPr>
        <w:t xml:space="preserve">     Н</w:t>
      </w:r>
      <w:r w:rsidR="005B68A2">
        <w:rPr>
          <w:sz w:val="28"/>
          <w:szCs w:val="28"/>
        </w:rPr>
        <w:t>.А.</w:t>
      </w:r>
      <w:r w:rsidR="00E464F4">
        <w:rPr>
          <w:sz w:val="28"/>
          <w:szCs w:val="28"/>
        </w:rPr>
        <w:t xml:space="preserve"> </w:t>
      </w:r>
      <w:proofErr w:type="spellStart"/>
      <w:r w:rsidR="005B68A2">
        <w:rPr>
          <w:sz w:val="28"/>
          <w:szCs w:val="28"/>
        </w:rPr>
        <w:t>Ареховка</w:t>
      </w:r>
      <w:proofErr w:type="spellEnd"/>
    </w:p>
    <w:sectPr w:rsidR="00443320" w:rsidSect="00EA3E9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E99" w:rsidRDefault="00EA3E99" w:rsidP="00EA3E99">
      <w:r>
        <w:separator/>
      </w:r>
    </w:p>
  </w:endnote>
  <w:endnote w:type="continuationSeparator" w:id="0">
    <w:p w:rsidR="00EA3E99" w:rsidRDefault="00EA3E99" w:rsidP="00EA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E99" w:rsidRDefault="00EA3E99" w:rsidP="00EA3E99">
      <w:r>
        <w:separator/>
      </w:r>
    </w:p>
  </w:footnote>
  <w:footnote w:type="continuationSeparator" w:id="0">
    <w:p w:rsidR="00EA3E99" w:rsidRDefault="00EA3E99" w:rsidP="00EA3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41077"/>
      <w:docPartObj>
        <w:docPartGallery w:val="Page Numbers (Top of Page)"/>
        <w:docPartUnique/>
      </w:docPartObj>
    </w:sdtPr>
    <w:sdtEndPr/>
    <w:sdtContent>
      <w:p w:rsidR="00EA3E99" w:rsidRDefault="00EA3E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8B0">
          <w:rPr>
            <w:noProof/>
          </w:rPr>
          <w:t>8</w:t>
        </w:r>
        <w:r>
          <w:fldChar w:fldCharType="end"/>
        </w:r>
      </w:p>
    </w:sdtContent>
  </w:sdt>
  <w:p w:rsidR="00EA3E99" w:rsidRDefault="00EA3E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CC4"/>
    <w:rsid w:val="00005179"/>
    <w:rsid w:val="0001291E"/>
    <w:rsid w:val="0001341A"/>
    <w:rsid w:val="00016E21"/>
    <w:rsid w:val="000208EA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971E9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178B0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4875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2A94"/>
    <w:rsid w:val="00223D97"/>
    <w:rsid w:val="0023314E"/>
    <w:rsid w:val="00234EF9"/>
    <w:rsid w:val="0023502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55C4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441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0F6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50672"/>
    <w:rsid w:val="004535C3"/>
    <w:rsid w:val="00462C65"/>
    <w:rsid w:val="00462ED0"/>
    <w:rsid w:val="00463A86"/>
    <w:rsid w:val="00470224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EC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E7E9D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14C1"/>
    <w:rsid w:val="00515FB2"/>
    <w:rsid w:val="00515FE3"/>
    <w:rsid w:val="00517E7A"/>
    <w:rsid w:val="00530016"/>
    <w:rsid w:val="00531252"/>
    <w:rsid w:val="00531ED7"/>
    <w:rsid w:val="0053459C"/>
    <w:rsid w:val="00535256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C0A74"/>
    <w:rsid w:val="005C53EE"/>
    <w:rsid w:val="005C5F7A"/>
    <w:rsid w:val="005C62DC"/>
    <w:rsid w:val="005C7BB9"/>
    <w:rsid w:val="005D07FA"/>
    <w:rsid w:val="005D1027"/>
    <w:rsid w:val="005D7618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0257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B6932"/>
    <w:rsid w:val="007C0ED0"/>
    <w:rsid w:val="007C16D4"/>
    <w:rsid w:val="007C1B1B"/>
    <w:rsid w:val="007C4403"/>
    <w:rsid w:val="007C7AA4"/>
    <w:rsid w:val="007D65EC"/>
    <w:rsid w:val="007E0CE7"/>
    <w:rsid w:val="007E48DC"/>
    <w:rsid w:val="007E4CB0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5EE2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36966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574A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4FDF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47E7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36CAF"/>
    <w:rsid w:val="00E401D7"/>
    <w:rsid w:val="00E41967"/>
    <w:rsid w:val="00E43F24"/>
    <w:rsid w:val="00E443EA"/>
    <w:rsid w:val="00E44A4B"/>
    <w:rsid w:val="00E464F4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3E99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5C96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3E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3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A3E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3E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BCBAC-55DF-49C4-942C-BA10C660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Магомедова К.Р.</cp:lastModifiedBy>
  <cp:revision>60</cp:revision>
  <cp:lastPrinted>2015-01-12T07:20:00Z</cp:lastPrinted>
  <dcterms:created xsi:type="dcterms:W3CDTF">2013-11-14T11:48:00Z</dcterms:created>
  <dcterms:modified xsi:type="dcterms:W3CDTF">2021-02-19T06:10:00Z</dcterms:modified>
</cp:coreProperties>
</file>