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045209" w:rsidRDefault="009B5ABB" w:rsidP="009B5ABB">
            <w:pPr>
              <w:pStyle w:val="ConsPlusNonformat"/>
              <w:jc w:val="center"/>
              <w:rPr>
                <w:rFonts w:ascii="Times New Roman" w:hAnsi="Times New Roman" w:cs="Times New Roman"/>
                <w:sz w:val="24"/>
                <w:szCs w:val="24"/>
              </w:rPr>
            </w:pPr>
            <w:r w:rsidRPr="009B5ABB">
              <w:rPr>
                <w:rFonts w:ascii="Times New Roman" w:hAnsi="Times New Roman" w:cs="Times New Roman"/>
                <w:sz w:val="24"/>
                <w:szCs w:val="24"/>
              </w:rPr>
              <w:t>«Об утверждении Порядка субсидирования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Pr>
                <w:rFonts w:ascii="Times New Roman" w:hAnsi="Times New Roman" w:cs="Times New Roman"/>
                <w:sz w:val="24"/>
                <w:szCs w:val="24"/>
              </w:rPr>
              <w:t>)</w:t>
            </w:r>
            <w:r w:rsidR="008867DD">
              <w:rPr>
                <w:rFonts w:ascii="Times New Roman" w:hAnsi="Times New Roman" w:cs="Times New Roman"/>
                <w:sz w:val="24"/>
                <w:szCs w:val="24"/>
              </w:rPr>
              <w:t>»</w:t>
            </w:r>
            <w:r w:rsidR="00F81D7E">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55EE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104FCD">
              <w:rPr>
                <w:rFonts w:ascii="Times New Roman" w:hAnsi="Times New Roman" w:cs="Times New Roman"/>
                <w:sz w:val="24"/>
                <w:szCs w:val="24"/>
              </w:rPr>
              <w:t>1</w:t>
            </w:r>
            <w:r w:rsidR="00455EE5">
              <w:rPr>
                <w:rFonts w:ascii="Times New Roman" w:hAnsi="Times New Roman" w:cs="Times New Roman"/>
                <w:sz w:val="24"/>
                <w:szCs w:val="24"/>
              </w:rPr>
              <w:t>3</w:t>
            </w:r>
            <w:bookmarkStart w:id="1" w:name="_GoBack"/>
            <w:bookmarkEnd w:id="1"/>
            <w:r w:rsidR="00104FCD">
              <w:rPr>
                <w:rFonts w:ascii="Times New Roman" w:hAnsi="Times New Roman" w:cs="Times New Roman"/>
                <w:sz w:val="24"/>
                <w:szCs w:val="24"/>
              </w:rPr>
              <w:t xml:space="preserve"> мая </w:t>
            </w:r>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DB" w:rsidRDefault="007A1FDB" w:rsidP="00840B1E">
      <w:pPr>
        <w:spacing w:after="0" w:line="240" w:lineRule="auto"/>
      </w:pPr>
      <w:r>
        <w:separator/>
      </w:r>
    </w:p>
  </w:endnote>
  <w:endnote w:type="continuationSeparator" w:id="0">
    <w:p w:rsidR="007A1FDB" w:rsidRDefault="007A1FD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DB" w:rsidRDefault="007A1FDB" w:rsidP="00840B1E">
      <w:pPr>
        <w:spacing w:after="0" w:line="240" w:lineRule="auto"/>
      </w:pPr>
      <w:r>
        <w:separator/>
      </w:r>
    </w:p>
  </w:footnote>
  <w:footnote w:type="continuationSeparator" w:id="0">
    <w:p w:rsidR="007A1FDB" w:rsidRDefault="007A1FD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D4A7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55EE5"/>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5D4A7F"/>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A1FDB"/>
    <w:rsid w:val="007B066C"/>
    <w:rsid w:val="007B7A14"/>
    <w:rsid w:val="007B7E36"/>
    <w:rsid w:val="007C7D3B"/>
    <w:rsid w:val="007E1C48"/>
    <w:rsid w:val="007F564A"/>
    <w:rsid w:val="00810FCA"/>
    <w:rsid w:val="008203AA"/>
    <w:rsid w:val="008372D9"/>
    <w:rsid w:val="00840B1E"/>
    <w:rsid w:val="00846A77"/>
    <w:rsid w:val="008763D1"/>
    <w:rsid w:val="00884822"/>
    <w:rsid w:val="008867DD"/>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B5ABB"/>
    <w:rsid w:val="009C3C2D"/>
    <w:rsid w:val="009D31EF"/>
    <w:rsid w:val="009F128C"/>
    <w:rsid w:val="00A05A41"/>
    <w:rsid w:val="00A2055E"/>
    <w:rsid w:val="00A22469"/>
    <w:rsid w:val="00A3100F"/>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1D7E"/>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CF9D-092D-49C9-AB32-A3FBF40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4</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140</cp:revision>
  <dcterms:created xsi:type="dcterms:W3CDTF">2015-03-03T07:14:00Z</dcterms:created>
  <dcterms:modified xsi:type="dcterms:W3CDTF">2016-04-28T08:21:00Z</dcterms:modified>
</cp:coreProperties>
</file>