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19.12.2023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  <w:bookmarkStart w:id="0" w:name="_GoBack"/>
      <w:bookmarkEnd w:id="0"/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ганизации деятельности по накоплению (в том числе раздельному накоплению), </w:t>
      </w:r>
      <w:r w:rsidR="00270976" w:rsidRPr="00270976">
        <w:rPr>
          <w:rFonts w:ascii="Times New Roman" w:hAnsi="Times New Roman" w:cs="Times New Roman"/>
          <w:sz w:val="28"/>
          <w:szCs w:val="28"/>
        </w:rPr>
        <w:lastRenderedPageBreak/>
        <w:t>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lastRenderedPageBreak/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 xml:space="preserve">арендой имущества для муниципальных нужд,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обязательствам муниципального обр</w:t>
      </w:r>
      <w:r w:rsidR="0052609D" w:rsidRPr="00162C24">
        <w:rPr>
          <w:rFonts w:ascii="Times New Roman" w:hAnsi="Times New Roman" w:cs="Times New Roman"/>
          <w:sz w:val="28"/>
          <w:szCs w:val="28"/>
        </w:rPr>
        <w:t>а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зования Тимашевский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исследований, исп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таний и экспертиз сторонними специалистами, привлеченными к проведению осмотров муниципального имущества или имущества, приобретаемого в мун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левого обучения граждан в муниципальном образовании Тимашевский район».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 xml:space="preserve"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</w:t>
      </w:r>
      <w:r w:rsidRPr="002D5702">
        <w:rPr>
          <w:rFonts w:ascii="Times New Roman" w:hAnsi="Times New Roman" w:cs="Times New Roman"/>
          <w:sz w:val="28"/>
          <w:szCs w:val="28"/>
        </w:rPr>
        <w:lastRenderedPageBreak/>
        <w:t>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содержание муниципальных архивов (капитальный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lastRenderedPageBreak/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B4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A0662"/>
    <w:rsid w:val="008A0795"/>
    <w:rsid w:val="008A0EF6"/>
    <w:rsid w:val="008A32F6"/>
    <w:rsid w:val="008A3A03"/>
    <w:rsid w:val="008A3D2A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4AD5"/>
    <w:rsid w:val="00934EBD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E007-64AB-4674-88A5-D0B9E205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56</Pages>
  <Words>20203</Words>
  <Characters>115160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516</cp:revision>
  <cp:lastPrinted>2021-12-28T08:17:00Z</cp:lastPrinted>
  <dcterms:created xsi:type="dcterms:W3CDTF">2019-08-29T10:36:00Z</dcterms:created>
  <dcterms:modified xsi:type="dcterms:W3CDTF">2023-12-25T11:19:00Z</dcterms:modified>
</cp:coreProperties>
</file>