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551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15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15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15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159D4" w:rsidRDefault="00340EBA" w:rsidP="00D733B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159D4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расписания движения автобусов на муниципальных пригородных маршрутах регулярного сообщения муниципального образования Тимашевский  район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на 2022 год</w:t>
      </w:r>
      <w:r w:rsidR="00A54D24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1DEC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ЖКХ, транспорта, связи </w:t>
      </w:r>
      <w:r w:rsidR="00392335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E15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E15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E159D4" w:rsidRDefault="00A84F44" w:rsidP="0027699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392335" w:rsidRPr="00E159D4">
        <w:rPr>
          <w:rFonts w:ascii="Times New Roman" w:hAnsi="Times New Roman" w:cs="Times New Roman"/>
          <w:sz w:val="26"/>
          <w:szCs w:val="26"/>
        </w:rPr>
        <w:t xml:space="preserve"> </w:t>
      </w:r>
      <w:r w:rsidR="00E159D4" w:rsidRPr="00E159D4">
        <w:rPr>
          <w:rFonts w:ascii="Times New Roman" w:hAnsi="Times New Roman" w:cs="Times New Roman"/>
          <w:sz w:val="26"/>
          <w:szCs w:val="26"/>
        </w:rPr>
        <w:t>Федеральные законы от 6 октября 2003 г.                    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 Краснодарского края от 21 декабря 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</w:p>
    <w:p w:rsidR="00340EBA" w:rsidRPr="00E15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ходе антикоррупционной экспертизы </w:t>
      </w:r>
      <w:proofErr w:type="spellStart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E15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3049A8" w:rsidRPr="00E159D4" w:rsidRDefault="003049A8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990" w:rsidRPr="00E159D4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E15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15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3049A8" w:rsidRPr="00E15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3B1E7C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Pr="00E159D4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519" w:rsidRPr="00E159D4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F5519" w:rsidRPr="00E159D4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E159D4" w:rsidRDefault="00E15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="009E4F13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0E4DE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E15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E15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643C1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E7CF-0808-4D73-932D-939A4A2C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96</cp:revision>
  <cp:lastPrinted>2022-02-04T08:02:00Z</cp:lastPrinted>
  <dcterms:created xsi:type="dcterms:W3CDTF">2016-02-16T12:51:00Z</dcterms:created>
  <dcterms:modified xsi:type="dcterms:W3CDTF">2022-02-04T08:03:00Z</dcterms:modified>
</cp:coreProperties>
</file>