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E4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ED6180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D6180">
        <w:rPr>
          <w:sz w:val="28"/>
          <w:szCs w:val="28"/>
        </w:rPr>
        <w:t xml:space="preserve">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F949DA" w:rsidRDefault="00FE0CAC" w:rsidP="000245AC">
      <w:pPr>
        <w:ind w:right="94"/>
        <w:jc w:val="center"/>
        <w:rPr>
          <w:sz w:val="28"/>
          <w:szCs w:val="28"/>
        </w:rPr>
      </w:pPr>
      <w:r w:rsidRPr="00F949DA">
        <w:rPr>
          <w:sz w:val="28"/>
          <w:szCs w:val="28"/>
        </w:rPr>
        <w:t>Заключение</w:t>
      </w:r>
      <w:r w:rsidR="00CB0376" w:rsidRPr="00F949DA">
        <w:rPr>
          <w:sz w:val="28"/>
          <w:szCs w:val="28"/>
        </w:rPr>
        <w:t xml:space="preserve"> № </w:t>
      </w:r>
      <w:r w:rsidR="007D0318">
        <w:rPr>
          <w:sz w:val="28"/>
          <w:szCs w:val="28"/>
        </w:rPr>
        <w:t>8</w:t>
      </w:r>
      <w:r w:rsidR="008A1082" w:rsidRPr="00F949DA">
        <w:rPr>
          <w:sz w:val="28"/>
          <w:szCs w:val="28"/>
        </w:rPr>
        <w:t>/</w:t>
      </w:r>
      <w:r w:rsidR="009F24D2">
        <w:rPr>
          <w:sz w:val="28"/>
          <w:szCs w:val="28"/>
        </w:rPr>
        <w:t xml:space="preserve">98 </w:t>
      </w:r>
      <w:bookmarkStart w:id="0" w:name="_GoBack"/>
      <w:bookmarkEnd w:id="0"/>
      <w:r w:rsidR="00CB0376" w:rsidRPr="00F949DA">
        <w:rPr>
          <w:sz w:val="28"/>
          <w:szCs w:val="28"/>
        </w:rPr>
        <w:t xml:space="preserve">от </w:t>
      </w:r>
      <w:r w:rsidR="007D0318">
        <w:rPr>
          <w:sz w:val="28"/>
          <w:szCs w:val="28"/>
        </w:rPr>
        <w:t xml:space="preserve">10 июня </w:t>
      </w:r>
      <w:r w:rsidR="00CB0376" w:rsidRPr="00F949DA">
        <w:rPr>
          <w:sz w:val="28"/>
          <w:szCs w:val="28"/>
        </w:rPr>
        <w:t>20</w:t>
      </w:r>
      <w:r w:rsidR="002D1D94" w:rsidRPr="00F949DA">
        <w:rPr>
          <w:sz w:val="28"/>
          <w:szCs w:val="28"/>
        </w:rPr>
        <w:t>2</w:t>
      </w:r>
      <w:r w:rsidR="00DF0C01" w:rsidRPr="00F949DA">
        <w:rPr>
          <w:sz w:val="28"/>
          <w:szCs w:val="28"/>
        </w:rPr>
        <w:t>2</w:t>
      </w:r>
      <w:r w:rsidR="002D1D94" w:rsidRPr="00F949DA">
        <w:rPr>
          <w:sz w:val="28"/>
          <w:szCs w:val="28"/>
        </w:rPr>
        <w:t xml:space="preserve"> </w:t>
      </w:r>
      <w:r w:rsidR="00CB0376" w:rsidRPr="00F949DA">
        <w:rPr>
          <w:sz w:val="28"/>
          <w:szCs w:val="28"/>
        </w:rPr>
        <w:t>г</w:t>
      </w:r>
      <w:r w:rsidR="00211889" w:rsidRPr="00F949DA">
        <w:rPr>
          <w:sz w:val="28"/>
          <w:szCs w:val="28"/>
        </w:rPr>
        <w:t>.</w:t>
      </w:r>
    </w:p>
    <w:p w:rsidR="004C6943" w:rsidRDefault="009158FA" w:rsidP="00B86BB1">
      <w:pPr>
        <w:jc w:val="center"/>
        <w:rPr>
          <w:sz w:val="28"/>
          <w:szCs w:val="28"/>
        </w:rPr>
      </w:pPr>
      <w:r w:rsidRPr="00F949DA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F949DA">
        <w:rPr>
          <w:sz w:val="28"/>
          <w:szCs w:val="28"/>
        </w:rPr>
        <w:t xml:space="preserve">проекта </w:t>
      </w:r>
    </w:p>
    <w:p w:rsidR="004C6943" w:rsidRDefault="004C6943" w:rsidP="004C69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муниципального образования Тимашевский район </w:t>
      </w:r>
    </w:p>
    <w:p w:rsidR="004C6943" w:rsidRDefault="004C6943" w:rsidP="004C6943">
      <w:pPr>
        <w:jc w:val="center"/>
        <w:rPr>
          <w:rFonts w:eastAsia="Tahoma"/>
          <w:sz w:val="28"/>
          <w:szCs w:val="28"/>
        </w:rPr>
      </w:pPr>
      <w:r>
        <w:rPr>
          <w:sz w:val="28"/>
          <w:szCs w:val="28"/>
        </w:rPr>
        <w:t>«</w:t>
      </w:r>
      <w:r w:rsidRPr="00352491">
        <w:rPr>
          <w:rFonts w:eastAsia="Tahoma"/>
          <w:sz w:val="28"/>
          <w:szCs w:val="28"/>
        </w:rPr>
        <w:t>О</w:t>
      </w:r>
      <w:r>
        <w:rPr>
          <w:rFonts w:eastAsia="Tahoma"/>
          <w:sz w:val="28"/>
          <w:szCs w:val="28"/>
        </w:rPr>
        <w:t xml:space="preserve"> внесении изменений в решение Совета муниципального образования </w:t>
      </w:r>
    </w:p>
    <w:p w:rsidR="004C6943" w:rsidRDefault="004C6943" w:rsidP="004C6943">
      <w:pPr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Тимашевский район от 17 июня 2015 г. № 514 «Об утверждении местных </w:t>
      </w:r>
    </w:p>
    <w:p w:rsidR="005A6439" w:rsidRDefault="004C6943" w:rsidP="004C6943">
      <w:pPr>
        <w:jc w:val="center"/>
        <w:rPr>
          <w:sz w:val="28"/>
          <w:szCs w:val="28"/>
        </w:rPr>
      </w:pPr>
      <w:r>
        <w:rPr>
          <w:rFonts w:eastAsia="Tahoma"/>
          <w:sz w:val="28"/>
          <w:szCs w:val="28"/>
        </w:rPr>
        <w:t>нормативов градостроительного проектирования Тимашевский район»</w:t>
      </w:r>
    </w:p>
    <w:p w:rsidR="00F949DA" w:rsidRDefault="005A6439" w:rsidP="005A6439">
      <w:pPr>
        <w:jc w:val="center"/>
        <w:outlineLvl w:val="0"/>
        <w:rPr>
          <w:sz w:val="28"/>
          <w:szCs w:val="28"/>
        </w:rPr>
      </w:pPr>
      <w:r w:rsidRPr="00F949DA">
        <w:rPr>
          <w:sz w:val="28"/>
          <w:szCs w:val="28"/>
        </w:rPr>
        <w:t xml:space="preserve"> </w:t>
      </w:r>
    </w:p>
    <w:p w:rsidR="00F107E4" w:rsidRPr="00F949DA" w:rsidRDefault="00F107E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CB2025" w:rsidRDefault="00991D2E" w:rsidP="003F2CD0">
      <w:pPr>
        <w:jc w:val="both"/>
        <w:rPr>
          <w:sz w:val="28"/>
          <w:szCs w:val="28"/>
        </w:rPr>
      </w:pPr>
      <w:r w:rsidRPr="00E91552">
        <w:rPr>
          <w:sz w:val="28"/>
          <w:szCs w:val="28"/>
        </w:rPr>
        <w:t xml:space="preserve">      </w:t>
      </w:r>
      <w:r w:rsidR="00013D65" w:rsidRPr="00E91552">
        <w:rPr>
          <w:sz w:val="28"/>
          <w:szCs w:val="28"/>
        </w:rPr>
        <w:t xml:space="preserve"> </w:t>
      </w:r>
      <w:r w:rsidRPr="00E91552">
        <w:rPr>
          <w:sz w:val="28"/>
          <w:szCs w:val="28"/>
        </w:rPr>
        <w:t xml:space="preserve"> </w:t>
      </w:r>
      <w:r w:rsidR="000600C7" w:rsidRPr="00E91552">
        <w:rPr>
          <w:sz w:val="28"/>
          <w:szCs w:val="28"/>
        </w:rPr>
        <w:t xml:space="preserve"> </w:t>
      </w:r>
      <w:r w:rsidR="003E2D1D" w:rsidRPr="00CB2025">
        <w:rPr>
          <w:sz w:val="28"/>
          <w:szCs w:val="28"/>
        </w:rPr>
        <w:t>О</w:t>
      </w:r>
      <w:r w:rsidR="00DA5835" w:rsidRPr="00CB2025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CB2025">
        <w:rPr>
          <w:sz w:val="28"/>
          <w:szCs w:val="28"/>
        </w:rPr>
        <w:t>,</w:t>
      </w:r>
      <w:r w:rsidR="00DA5835" w:rsidRPr="00CB2025">
        <w:rPr>
          <w:sz w:val="28"/>
          <w:szCs w:val="28"/>
        </w:rPr>
        <w:t xml:space="preserve"> </w:t>
      </w:r>
      <w:r w:rsidR="00DF0C01" w:rsidRPr="00CB2025">
        <w:rPr>
          <w:sz w:val="28"/>
          <w:szCs w:val="28"/>
        </w:rPr>
        <w:t>как уполномоченный орган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895329" w:rsidRPr="00CB2025">
        <w:rPr>
          <w:sz w:val="28"/>
          <w:szCs w:val="28"/>
        </w:rPr>
        <w:t>,</w:t>
      </w:r>
      <w:r w:rsidR="00DA5835" w:rsidRPr="00CB2025">
        <w:rPr>
          <w:sz w:val="28"/>
          <w:szCs w:val="28"/>
        </w:rPr>
        <w:t xml:space="preserve"> </w:t>
      </w:r>
      <w:r w:rsidR="00653AEF" w:rsidRPr="00CB2025">
        <w:rPr>
          <w:sz w:val="28"/>
          <w:szCs w:val="28"/>
        </w:rPr>
        <w:t>(далее – Уполномоченный орган)</w:t>
      </w:r>
      <w:r w:rsidR="00710892" w:rsidRPr="00CB2025">
        <w:rPr>
          <w:sz w:val="28"/>
          <w:szCs w:val="28"/>
        </w:rPr>
        <w:t>,</w:t>
      </w:r>
      <w:r w:rsidR="00653AEF" w:rsidRPr="00CB2025">
        <w:rPr>
          <w:sz w:val="28"/>
          <w:szCs w:val="28"/>
        </w:rPr>
        <w:t xml:space="preserve"> рассмотрел </w:t>
      </w:r>
      <w:r w:rsidR="00516B94" w:rsidRPr="00CB2025">
        <w:rPr>
          <w:sz w:val="28"/>
          <w:szCs w:val="28"/>
        </w:rPr>
        <w:t xml:space="preserve">поступивший </w:t>
      </w:r>
      <w:r w:rsidR="00CB2025" w:rsidRPr="00CB2025">
        <w:rPr>
          <w:sz w:val="28"/>
          <w:szCs w:val="28"/>
        </w:rPr>
        <w:t>23</w:t>
      </w:r>
      <w:r w:rsidR="003F2CD0" w:rsidRPr="00CB2025">
        <w:rPr>
          <w:sz w:val="28"/>
          <w:szCs w:val="28"/>
        </w:rPr>
        <w:t xml:space="preserve"> мая </w:t>
      </w:r>
      <w:r w:rsidR="004377A7" w:rsidRPr="00CB2025">
        <w:rPr>
          <w:sz w:val="28"/>
          <w:szCs w:val="28"/>
        </w:rPr>
        <w:t>2</w:t>
      </w:r>
      <w:r w:rsidR="00516B94" w:rsidRPr="00CB2025">
        <w:rPr>
          <w:sz w:val="28"/>
          <w:szCs w:val="28"/>
        </w:rPr>
        <w:t>0</w:t>
      </w:r>
      <w:r w:rsidR="002D1D94" w:rsidRPr="00CB2025">
        <w:rPr>
          <w:sz w:val="28"/>
          <w:szCs w:val="28"/>
        </w:rPr>
        <w:t>2</w:t>
      </w:r>
      <w:r w:rsidR="00C1711A" w:rsidRPr="00CB2025">
        <w:rPr>
          <w:sz w:val="28"/>
          <w:szCs w:val="28"/>
        </w:rPr>
        <w:t>2</w:t>
      </w:r>
      <w:r w:rsidR="00516B94" w:rsidRPr="00CB2025">
        <w:rPr>
          <w:sz w:val="28"/>
          <w:szCs w:val="28"/>
        </w:rPr>
        <w:t xml:space="preserve"> г</w:t>
      </w:r>
      <w:r w:rsidR="007B2D20" w:rsidRPr="00CB2025">
        <w:rPr>
          <w:sz w:val="28"/>
          <w:szCs w:val="28"/>
        </w:rPr>
        <w:t>.</w:t>
      </w:r>
      <w:r w:rsidR="00516B94" w:rsidRPr="00CB2025">
        <w:rPr>
          <w:sz w:val="28"/>
          <w:szCs w:val="28"/>
        </w:rPr>
        <w:t xml:space="preserve"> </w:t>
      </w:r>
      <w:r w:rsidR="00D93377" w:rsidRPr="00CB2025">
        <w:rPr>
          <w:sz w:val="28"/>
          <w:szCs w:val="28"/>
        </w:rPr>
        <w:t xml:space="preserve">проект </w:t>
      </w:r>
      <w:r w:rsidR="00CB2025" w:rsidRPr="00CB2025">
        <w:rPr>
          <w:sz w:val="28"/>
          <w:szCs w:val="28"/>
        </w:rPr>
        <w:t>решения Совета муниципального образования Тимашевский район «</w:t>
      </w:r>
      <w:r w:rsidR="00CB2025" w:rsidRPr="00CB2025">
        <w:rPr>
          <w:rFonts w:eastAsia="Tahoma"/>
          <w:sz w:val="28"/>
          <w:szCs w:val="28"/>
        </w:rPr>
        <w:t>О внесении изменений в решение Совета муниципального образования Тимашевский район от 17 июня 2015 г. № 514 «Об утверждении местных нормативов градостроительного проектирования Тимашевский район»</w:t>
      </w:r>
      <w:r w:rsidR="003F2CD0" w:rsidRPr="00CB2025">
        <w:rPr>
          <w:sz w:val="28"/>
          <w:szCs w:val="28"/>
        </w:rPr>
        <w:t xml:space="preserve"> </w:t>
      </w:r>
      <w:r w:rsidR="00653AEF" w:rsidRPr="00CB2025">
        <w:rPr>
          <w:sz w:val="28"/>
          <w:szCs w:val="28"/>
        </w:rPr>
        <w:t xml:space="preserve">(далее – </w:t>
      </w:r>
      <w:r w:rsidR="00710892" w:rsidRPr="00CB2025">
        <w:rPr>
          <w:sz w:val="28"/>
          <w:szCs w:val="28"/>
        </w:rPr>
        <w:t>П</w:t>
      </w:r>
      <w:r w:rsidR="00516B94" w:rsidRPr="00CB2025">
        <w:rPr>
          <w:sz w:val="28"/>
          <w:szCs w:val="28"/>
        </w:rPr>
        <w:t>роект</w:t>
      </w:r>
      <w:r w:rsidR="00653AEF" w:rsidRPr="00CB2025">
        <w:rPr>
          <w:sz w:val="28"/>
          <w:szCs w:val="28"/>
        </w:rPr>
        <w:t>)</w:t>
      </w:r>
      <w:r w:rsidR="00710892" w:rsidRPr="00CB2025">
        <w:rPr>
          <w:sz w:val="28"/>
          <w:szCs w:val="28"/>
        </w:rPr>
        <w:t>, направленный от</w:t>
      </w:r>
      <w:r w:rsidR="007C2540" w:rsidRPr="00CB2025">
        <w:rPr>
          <w:sz w:val="28"/>
          <w:szCs w:val="28"/>
        </w:rPr>
        <w:t>делом</w:t>
      </w:r>
      <w:r w:rsidR="00AC3440" w:rsidRPr="00CB2025">
        <w:rPr>
          <w:sz w:val="28"/>
          <w:szCs w:val="28"/>
        </w:rPr>
        <w:t xml:space="preserve"> </w:t>
      </w:r>
      <w:r w:rsidR="00081FFC" w:rsidRPr="00CB2025">
        <w:rPr>
          <w:sz w:val="28"/>
          <w:szCs w:val="28"/>
        </w:rPr>
        <w:t xml:space="preserve">архитектуры и градостроительства </w:t>
      </w:r>
      <w:r w:rsidR="00710892" w:rsidRPr="00CB2025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CB2025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CB2025">
        <w:rPr>
          <w:sz w:val="28"/>
          <w:szCs w:val="28"/>
        </w:rPr>
        <w:t>.</w:t>
      </w:r>
    </w:p>
    <w:p w:rsidR="00C1711A" w:rsidRPr="00CB2025" w:rsidRDefault="00C1711A" w:rsidP="00C1711A">
      <w:pPr>
        <w:ind w:firstLine="708"/>
        <w:jc w:val="both"/>
        <w:rPr>
          <w:sz w:val="28"/>
          <w:szCs w:val="28"/>
        </w:rPr>
      </w:pPr>
      <w:r w:rsidRPr="00CB2025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CB202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CB2025">
        <w:rPr>
          <w:sz w:val="28"/>
          <w:szCs w:val="28"/>
        </w:rPr>
        <w:softHyphen/>
        <w:t>ципального образования Тимашевский район от 10 сентября 2021 г. № 1231 (далее – Порядок) проект подлежит проведению оценки регулирующего воздействия.</w:t>
      </w:r>
    </w:p>
    <w:p w:rsidR="00CB2025" w:rsidRPr="00601858" w:rsidRDefault="00F965A1" w:rsidP="00CB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B2025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CB2025" w:rsidRPr="00CB2025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Тимашевский район обязанности для</w:t>
      </w:r>
      <w:r w:rsidR="00CB2025" w:rsidRPr="00601858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иной экономической деятельности. </w:t>
      </w:r>
    </w:p>
    <w:p w:rsidR="00242F28" w:rsidRPr="00CB202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B202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CB2025">
        <w:rPr>
          <w:rFonts w:eastAsiaTheme="minorEastAsia"/>
          <w:sz w:val="28"/>
          <w:szCs w:val="28"/>
        </w:rPr>
        <w:t>П</w:t>
      </w:r>
      <w:r w:rsidRPr="00CB2025">
        <w:rPr>
          <w:rFonts w:eastAsiaTheme="minorEastAsia"/>
          <w:sz w:val="28"/>
          <w:szCs w:val="28"/>
        </w:rPr>
        <w:t xml:space="preserve">роекта </w:t>
      </w:r>
      <w:r w:rsidRPr="00CB2025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CB202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B202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B202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B202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B2025">
        <w:rPr>
          <w:rFonts w:eastAsiaTheme="minorEastAsia"/>
          <w:sz w:val="28"/>
          <w:szCs w:val="28"/>
        </w:rPr>
        <w:t xml:space="preserve"> </w:t>
      </w:r>
      <w:r w:rsidRPr="00CB202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CB2025">
        <w:rPr>
          <w:rFonts w:eastAsiaTheme="minorEastAsia"/>
          <w:sz w:val="28"/>
          <w:szCs w:val="28"/>
        </w:rPr>
        <w:t xml:space="preserve">регулирующим органом </w:t>
      </w:r>
      <w:r w:rsidRPr="00CB202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82204" w:rsidRPr="00CB2025" w:rsidRDefault="007A34F2" w:rsidP="00A82204">
      <w:pPr>
        <w:jc w:val="both"/>
        <w:rPr>
          <w:sz w:val="28"/>
          <w:szCs w:val="28"/>
        </w:rPr>
      </w:pPr>
      <w:r w:rsidRPr="00CB2025">
        <w:rPr>
          <w:sz w:val="28"/>
          <w:szCs w:val="28"/>
        </w:rPr>
        <w:t xml:space="preserve">        </w:t>
      </w:r>
      <w:r w:rsidR="00B34005" w:rsidRPr="00CB2025">
        <w:rPr>
          <w:sz w:val="28"/>
          <w:szCs w:val="28"/>
        </w:rPr>
        <w:t>Р</w:t>
      </w:r>
      <w:r w:rsidR="00722999" w:rsidRPr="00CB202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CB2025">
        <w:rPr>
          <w:sz w:val="28"/>
          <w:szCs w:val="28"/>
        </w:rPr>
        <w:t xml:space="preserve"> принятие </w:t>
      </w:r>
      <w:r w:rsidR="00CB2025" w:rsidRPr="00CB2025">
        <w:rPr>
          <w:sz w:val="28"/>
          <w:szCs w:val="28"/>
        </w:rPr>
        <w:t>решения Совета муниципального образования Тимашевский район «</w:t>
      </w:r>
      <w:r w:rsidR="00CB2025" w:rsidRPr="00CB2025">
        <w:rPr>
          <w:rFonts w:eastAsia="Tahoma"/>
          <w:sz w:val="28"/>
          <w:szCs w:val="28"/>
        </w:rPr>
        <w:t>О внесении изменений в решение Совета муниципального образования Тимашевский район от 17 июня 2015 г. № 514 «Об утверждении местных нормативов градостроительного проектирования Тимашевский район».</w:t>
      </w:r>
      <w:r w:rsidR="00CB2025" w:rsidRPr="00CB2025">
        <w:rPr>
          <w:sz w:val="28"/>
          <w:szCs w:val="28"/>
        </w:rPr>
        <w:t xml:space="preserve"> </w:t>
      </w:r>
    </w:p>
    <w:p w:rsidR="00BD6D89" w:rsidRPr="00CB202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CB202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CB202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CB202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CB2025">
        <w:rPr>
          <w:rFonts w:ascii="Times New Roman" w:hAnsi="Times New Roman" w:cs="Times New Roman"/>
          <w:sz w:val="28"/>
          <w:szCs w:val="28"/>
        </w:rPr>
        <w:t>ой</w:t>
      </w:r>
      <w:r w:rsidR="005A6E6C" w:rsidRPr="00CB202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CB2025">
        <w:rPr>
          <w:rFonts w:ascii="Times New Roman" w:hAnsi="Times New Roman" w:cs="Times New Roman"/>
          <w:sz w:val="28"/>
          <w:szCs w:val="28"/>
        </w:rPr>
        <w:t>и</w:t>
      </w:r>
      <w:r w:rsidR="005A6E6C" w:rsidRPr="00CB202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CB202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CB2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B16" w:rsidRPr="00CB2025" w:rsidRDefault="000A0A25" w:rsidP="00062B16">
      <w:pPr>
        <w:ind w:firstLine="708"/>
        <w:jc w:val="both"/>
        <w:rPr>
          <w:rFonts w:eastAsiaTheme="minorEastAsia"/>
          <w:sz w:val="28"/>
          <w:szCs w:val="28"/>
        </w:rPr>
      </w:pPr>
      <w:r w:rsidRPr="00CB202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B202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CB2025">
        <w:rPr>
          <w:rFonts w:eastAsiaTheme="minorEastAsia"/>
          <w:sz w:val="28"/>
          <w:szCs w:val="28"/>
        </w:rPr>
        <w:t>основанн</w:t>
      </w:r>
      <w:r w:rsidR="00FC22E3" w:rsidRPr="00CB2025">
        <w:rPr>
          <w:rFonts w:eastAsiaTheme="minorEastAsia"/>
          <w:sz w:val="28"/>
          <w:szCs w:val="28"/>
        </w:rPr>
        <w:t>ого</w:t>
      </w:r>
      <w:r w:rsidRPr="00CB202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741A5B" w:rsidRPr="00CB2025" w:rsidRDefault="0098698D" w:rsidP="00062B16">
      <w:pPr>
        <w:ind w:firstLine="708"/>
        <w:jc w:val="both"/>
        <w:rPr>
          <w:sz w:val="28"/>
          <w:szCs w:val="28"/>
        </w:rPr>
      </w:pPr>
      <w:r w:rsidRPr="00CB2025">
        <w:rPr>
          <w:sz w:val="28"/>
          <w:szCs w:val="28"/>
        </w:rPr>
        <w:t xml:space="preserve">1. </w:t>
      </w:r>
      <w:r w:rsidR="007C4A4E" w:rsidRPr="00CB2025">
        <w:rPr>
          <w:sz w:val="28"/>
          <w:szCs w:val="28"/>
        </w:rPr>
        <w:t>п</w:t>
      </w:r>
      <w:r w:rsidR="00A513C3" w:rsidRPr="00CB2025">
        <w:rPr>
          <w:sz w:val="28"/>
          <w:szCs w:val="28"/>
        </w:rPr>
        <w:t>роблема</w:t>
      </w:r>
      <w:r w:rsidR="00FC22E3" w:rsidRPr="00CB2025">
        <w:rPr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B2025">
        <w:rPr>
          <w:sz w:val="28"/>
          <w:szCs w:val="28"/>
        </w:rPr>
        <w:t>;</w:t>
      </w:r>
    </w:p>
    <w:p w:rsidR="00CB2025" w:rsidRPr="00857289" w:rsidRDefault="0098698D" w:rsidP="00CB2025">
      <w:pPr>
        <w:ind w:firstLine="851"/>
        <w:jc w:val="both"/>
        <w:rPr>
          <w:sz w:val="28"/>
          <w:szCs w:val="28"/>
        </w:rPr>
      </w:pPr>
      <w:r w:rsidRPr="00CB2025">
        <w:rPr>
          <w:sz w:val="28"/>
          <w:szCs w:val="28"/>
        </w:rPr>
        <w:t xml:space="preserve">2. </w:t>
      </w:r>
      <w:r w:rsidR="00A513C3" w:rsidRPr="00CB202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CB2025">
        <w:rPr>
          <w:sz w:val="28"/>
          <w:szCs w:val="28"/>
        </w:rPr>
        <w:t>вания:</w:t>
      </w:r>
      <w:r w:rsidR="006867AD" w:rsidRPr="00CB2025">
        <w:rPr>
          <w:sz w:val="28"/>
          <w:szCs w:val="28"/>
        </w:rPr>
        <w:t xml:space="preserve"> </w:t>
      </w:r>
      <w:r w:rsidR="00CB2025" w:rsidRPr="00CB2025">
        <w:rPr>
          <w:sz w:val="28"/>
          <w:szCs w:val="28"/>
        </w:rPr>
        <w:t>субъекты градостроительной деятельности, осуществляющие свою деятельность на территории Тимашевского района Краснодарского края, независимо от их организационно-правовой формы.</w:t>
      </w:r>
      <w:r w:rsidR="00CB2025" w:rsidRPr="00857289">
        <w:rPr>
          <w:sz w:val="28"/>
          <w:szCs w:val="28"/>
        </w:rPr>
        <w:t xml:space="preserve"> </w:t>
      </w:r>
    </w:p>
    <w:p w:rsidR="00062B16" w:rsidRPr="00CB2025" w:rsidRDefault="00062B16" w:rsidP="0006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hAnsi="Times New Roman" w:cs="Times New Roman"/>
          <w:sz w:val="28"/>
          <w:szCs w:val="28"/>
        </w:rPr>
        <w:tab/>
      </w:r>
      <w:r w:rsidR="0098698D" w:rsidRPr="00CB202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CB202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CB2025">
        <w:rPr>
          <w:rFonts w:ascii="Times New Roman" w:hAnsi="Times New Roman" w:cs="Times New Roman"/>
          <w:sz w:val="28"/>
          <w:szCs w:val="28"/>
        </w:rPr>
        <w:t>ая</w:t>
      </w:r>
      <w:r w:rsidR="00B66716" w:rsidRPr="00CB202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CB2025">
        <w:rPr>
          <w:rFonts w:ascii="Times New Roman" w:hAnsi="Times New Roman" w:cs="Times New Roman"/>
          <w:sz w:val="28"/>
          <w:szCs w:val="28"/>
        </w:rPr>
        <w:t>а</w:t>
      </w:r>
      <w:r w:rsidR="00B66716" w:rsidRPr="00CB202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CB202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="00427B02" w:rsidRPr="00CB202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CB2025" w:rsidRDefault="00062B16" w:rsidP="0006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hAnsi="Times New Roman" w:cs="Times New Roman"/>
          <w:sz w:val="28"/>
          <w:szCs w:val="28"/>
        </w:rPr>
        <w:tab/>
      </w:r>
      <w:r w:rsidR="0098698D" w:rsidRPr="00CB202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CB2025">
        <w:rPr>
          <w:rFonts w:ascii="Times New Roman" w:hAnsi="Times New Roman" w:cs="Times New Roman"/>
          <w:sz w:val="28"/>
          <w:szCs w:val="28"/>
        </w:rPr>
        <w:t>цел</w:t>
      </w:r>
      <w:r w:rsidR="00184E7E" w:rsidRPr="00CB2025">
        <w:rPr>
          <w:rFonts w:ascii="Times New Roman" w:hAnsi="Times New Roman" w:cs="Times New Roman"/>
          <w:sz w:val="28"/>
          <w:szCs w:val="28"/>
        </w:rPr>
        <w:t>ь</w:t>
      </w:r>
      <w:r w:rsidR="00B66716" w:rsidRPr="00CB202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B202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CB202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CB202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CB2025" w:rsidRPr="00CB2025">
        <w:rPr>
          <w:rFonts w:ascii="Times New Roman" w:hAnsi="Times New Roman" w:cs="Times New Roman"/>
          <w:sz w:val="28"/>
          <w:szCs w:val="28"/>
        </w:rPr>
        <w:t>решения Совета</w:t>
      </w:r>
      <w:r w:rsidR="00094EAB" w:rsidRPr="00CB202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CB202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CB202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CB202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CB202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CB202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CB2025">
        <w:rPr>
          <w:rFonts w:ascii="Times New Roman" w:hAnsi="Times New Roman" w:cs="Times New Roman"/>
          <w:sz w:val="28"/>
          <w:szCs w:val="28"/>
        </w:rPr>
        <w:t>отсутствуют</w:t>
      </w:r>
      <w:r w:rsidRPr="00CB202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CB202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02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F238E5" w:rsidRPr="00857289" w:rsidRDefault="00B03A55" w:rsidP="00F238E5">
      <w:pPr>
        <w:ind w:firstLine="851"/>
        <w:jc w:val="both"/>
        <w:rPr>
          <w:sz w:val="28"/>
          <w:szCs w:val="28"/>
        </w:rPr>
      </w:pPr>
      <w:r w:rsidRPr="00F238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F238E5">
        <w:rPr>
          <w:sz w:val="28"/>
          <w:szCs w:val="28"/>
        </w:rPr>
        <w:t xml:space="preserve">: </w:t>
      </w:r>
      <w:r w:rsidR="00F238E5" w:rsidRPr="00F238E5">
        <w:rPr>
          <w:sz w:val="28"/>
          <w:szCs w:val="28"/>
        </w:rPr>
        <w:t>субъекты градостроительной деятельности, осуществляющие свою деятельность на территории Тимашевского района Краснодарского края, независимо от их организационно-правовой формы.</w:t>
      </w:r>
      <w:r w:rsidR="00F238E5" w:rsidRPr="00857289">
        <w:rPr>
          <w:sz w:val="28"/>
          <w:szCs w:val="28"/>
        </w:rPr>
        <w:t xml:space="preserve"> </w:t>
      </w:r>
    </w:p>
    <w:p w:rsidR="00B03A55" w:rsidRPr="00F238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238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F238E5">
        <w:rPr>
          <w:rFonts w:ascii="Times New Roman" w:hAnsi="Times New Roman" w:cs="Times New Roman"/>
          <w:sz w:val="28"/>
          <w:szCs w:val="28"/>
        </w:rPr>
        <w:t>:</w:t>
      </w:r>
    </w:p>
    <w:p w:rsidR="00F238E5" w:rsidRPr="00952363" w:rsidRDefault="00433C4D" w:rsidP="00F238E5">
      <w:pPr>
        <w:jc w:val="both"/>
        <w:rPr>
          <w:rStyle w:val="af1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F238E5">
        <w:rPr>
          <w:sz w:val="28"/>
          <w:szCs w:val="28"/>
        </w:rPr>
        <w:tab/>
      </w:r>
      <w:r w:rsidR="00F238E5" w:rsidRPr="00F238E5">
        <w:rPr>
          <w:sz w:val="28"/>
          <w:szCs w:val="28"/>
        </w:rPr>
        <w:t>Приказом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</w:t>
      </w:r>
      <w:r w:rsidR="00F238E5" w:rsidRPr="00952363">
        <w:rPr>
          <w:sz w:val="28"/>
          <w:szCs w:val="28"/>
        </w:rPr>
        <w:t xml:space="preserve"> г. № 78 «Об утверждении нормативов градостроительного проектирования Краснодарского края» внесены изменения в нормы расчета учреждений и предприятий обслуживания и размеры земельных участков для их размещения</w:t>
      </w:r>
      <w:r w:rsidR="00F238E5" w:rsidRPr="00952363">
        <w:rPr>
          <w:rStyle w:val="af1"/>
          <w:color w:val="000000"/>
          <w:spacing w:val="3"/>
          <w:sz w:val="28"/>
          <w:szCs w:val="28"/>
          <w:shd w:val="clear" w:color="auto" w:fill="FFFFFF"/>
        </w:rPr>
        <w:t>.</w:t>
      </w:r>
    </w:p>
    <w:p w:rsidR="00F238E5" w:rsidRDefault="00F238E5" w:rsidP="00F238E5">
      <w:pPr>
        <w:ind w:firstLine="567"/>
        <w:jc w:val="both"/>
        <w:rPr>
          <w:sz w:val="28"/>
          <w:szCs w:val="28"/>
        </w:rPr>
      </w:pPr>
      <w:r w:rsidRPr="00952363">
        <w:rPr>
          <w:sz w:val="28"/>
          <w:szCs w:val="28"/>
        </w:rPr>
        <w:t xml:space="preserve">Принятие МНПА обусловлено необходимостью приведения </w:t>
      </w:r>
      <w:r>
        <w:rPr>
          <w:sz w:val="28"/>
          <w:szCs w:val="28"/>
        </w:rPr>
        <w:t>его</w:t>
      </w:r>
      <w:r w:rsidRPr="00952363">
        <w:rPr>
          <w:sz w:val="28"/>
          <w:szCs w:val="28"/>
        </w:rPr>
        <w:t xml:space="preserve"> в соответствие с федеральным </w:t>
      </w:r>
      <w:r>
        <w:rPr>
          <w:sz w:val="28"/>
          <w:szCs w:val="28"/>
        </w:rPr>
        <w:t xml:space="preserve">и региональным </w:t>
      </w:r>
      <w:r w:rsidRPr="00952363">
        <w:rPr>
          <w:sz w:val="28"/>
          <w:szCs w:val="28"/>
        </w:rPr>
        <w:t>законодательством.</w:t>
      </w:r>
    </w:p>
    <w:p w:rsidR="00F238E5" w:rsidRDefault="00F238E5" w:rsidP="00F238E5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6FDC">
        <w:rPr>
          <w:sz w:val="28"/>
          <w:szCs w:val="28"/>
        </w:rPr>
        <w:t>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случае, если это предусмотрено законодательством субъекта Российской Федерации о градостроительной деятельности, местной администрацией.</w:t>
      </w:r>
    </w:p>
    <w:p w:rsidR="00D24FAE" w:rsidRPr="00F238E5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F238E5">
        <w:rPr>
          <w:sz w:val="28"/>
          <w:szCs w:val="28"/>
        </w:rPr>
        <w:t xml:space="preserve">  </w:t>
      </w:r>
      <w:r w:rsidR="008F7D3C" w:rsidRPr="00F238E5">
        <w:rPr>
          <w:sz w:val="28"/>
          <w:szCs w:val="28"/>
        </w:rPr>
        <w:t xml:space="preserve"> </w:t>
      </w:r>
      <w:r w:rsidR="008721A3" w:rsidRPr="00F238E5">
        <w:rPr>
          <w:sz w:val="28"/>
          <w:szCs w:val="28"/>
        </w:rPr>
        <w:t xml:space="preserve">  </w:t>
      </w:r>
      <w:r w:rsidR="00552C4E" w:rsidRPr="00F238E5">
        <w:rPr>
          <w:sz w:val="28"/>
          <w:szCs w:val="28"/>
        </w:rPr>
        <w:t xml:space="preserve">   </w:t>
      </w:r>
      <w:r w:rsidR="00A11721" w:rsidRPr="00F238E5">
        <w:rPr>
          <w:sz w:val="28"/>
          <w:szCs w:val="28"/>
        </w:rPr>
        <w:t xml:space="preserve"> </w:t>
      </w:r>
      <w:r w:rsidR="00D24FAE" w:rsidRPr="00F238E5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F238E5" w:rsidRPr="00F238E5" w:rsidRDefault="00D24FAE" w:rsidP="00F238E5">
      <w:pPr>
        <w:ind w:firstLine="567"/>
        <w:jc w:val="both"/>
        <w:rPr>
          <w:sz w:val="28"/>
          <w:szCs w:val="28"/>
        </w:rPr>
      </w:pPr>
      <w:r w:rsidRPr="00F238E5">
        <w:rPr>
          <w:sz w:val="28"/>
          <w:szCs w:val="28"/>
        </w:rPr>
        <w:t xml:space="preserve">3. </w:t>
      </w:r>
      <w:r w:rsidR="008E0AF8" w:rsidRPr="00F238E5">
        <w:rPr>
          <w:sz w:val="28"/>
          <w:szCs w:val="28"/>
        </w:rPr>
        <w:t xml:space="preserve">Цель предлагаемого правового регулирования </w:t>
      </w:r>
      <w:r w:rsidR="00433C4D" w:rsidRPr="00F238E5">
        <w:rPr>
          <w:sz w:val="28"/>
          <w:szCs w:val="28"/>
        </w:rPr>
        <w:t>-</w:t>
      </w:r>
      <w:r w:rsidR="00FE7E48" w:rsidRPr="00F238E5">
        <w:rPr>
          <w:sz w:val="28"/>
          <w:szCs w:val="28"/>
        </w:rPr>
        <w:t xml:space="preserve"> </w:t>
      </w:r>
      <w:r w:rsidR="00F238E5" w:rsidRPr="00F238E5">
        <w:rPr>
          <w:sz w:val="28"/>
          <w:szCs w:val="28"/>
        </w:rPr>
        <w:t>приведение МНПА в соответствие с федеральным и региональным законодательством.</w:t>
      </w:r>
    </w:p>
    <w:p w:rsidR="00F50B52" w:rsidRPr="00F238E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</w:rPr>
        <w:t>Цел</w:t>
      </w:r>
      <w:r w:rsidR="00F80C12" w:rsidRPr="00F238E5">
        <w:rPr>
          <w:rFonts w:ascii="Times New Roman" w:hAnsi="Times New Roman" w:cs="Times New Roman"/>
          <w:sz w:val="28"/>
          <w:szCs w:val="28"/>
        </w:rPr>
        <w:t>ь</w:t>
      </w:r>
      <w:r w:rsidRPr="00F238E5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238E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238E5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F238E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238E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F238E5">
        <w:rPr>
          <w:rFonts w:ascii="Times New Roman" w:hAnsi="Times New Roman" w:cs="Times New Roman"/>
          <w:sz w:val="28"/>
          <w:szCs w:val="28"/>
        </w:rPr>
        <w:t xml:space="preserve"> и </w:t>
      </w:r>
      <w:r w:rsidRPr="00F238E5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F238E5" w:rsidRPr="00601858" w:rsidRDefault="00F50B52" w:rsidP="00F23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</w:rPr>
        <w:t>4.</w:t>
      </w:r>
      <w:r w:rsidRPr="00F238E5">
        <w:rPr>
          <w:sz w:val="28"/>
          <w:szCs w:val="28"/>
        </w:rPr>
        <w:t xml:space="preserve"> </w:t>
      </w:r>
      <w:r w:rsidR="00F238E5" w:rsidRPr="00F238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38E5" w:rsidRPr="00F238E5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</w:t>
      </w:r>
      <w:r w:rsidR="00F238E5" w:rsidRPr="00601858">
        <w:rPr>
          <w:rFonts w:ascii="Times New Roman" w:hAnsi="Times New Roman" w:cs="Times New Roman"/>
          <w:sz w:val="28"/>
          <w:szCs w:val="28"/>
        </w:rPr>
        <w:t xml:space="preserve">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деятельности. </w:t>
      </w:r>
    </w:p>
    <w:p w:rsidR="004905CE" w:rsidRDefault="00C373FD" w:rsidP="004905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B55BF7">
        <w:rPr>
          <w:rFonts w:ascii="Times New Roman" w:hAnsi="Times New Roman" w:cs="Times New Roman"/>
          <w:sz w:val="28"/>
          <w:szCs w:val="28"/>
        </w:rPr>
        <w:t xml:space="preserve">5. </w:t>
      </w:r>
      <w:r w:rsidR="004905CE" w:rsidRPr="00B55BF7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заключаются в следующем:</w:t>
      </w:r>
      <w:r w:rsidR="0049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0F" w:rsidRPr="00B55BF7" w:rsidRDefault="0085600F" w:rsidP="008560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5BF7">
        <w:rPr>
          <w:sz w:val="28"/>
          <w:szCs w:val="28"/>
        </w:rPr>
        <w:t xml:space="preserve">В соответствии с частью 1 статьи 29.4 Градостроительного кодекса Российской Федерации от 29.12.2004 № 190-ФЗ (далее </w:t>
      </w:r>
      <w:r w:rsidR="00312A80" w:rsidRPr="00B55BF7">
        <w:rPr>
          <w:sz w:val="28"/>
          <w:szCs w:val="28"/>
        </w:rPr>
        <w:t>-</w:t>
      </w:r>
      <w:r w:rsidRPr="00B55BF7">
        <w:rPr>
          <w:sz w:val="28"/>
          <w:szCs w:val="28"/>
        </w:rPr>
        <w:t xml:space="preserve"> Градостроительный кодекс)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самоуправления. </w:t>
      </w:r>
    </w:p>
    <w:p w:rsidR="0085600F" w:rsidRPr="00B55BF7" w:rsidRDefault="0085600F" w:rsidP="0085600F">
      <w:pPr>
        <w:shd w:val="clear" w:color="auto" w:fill="FFFFFF"/>
        <w:jc w:val="both"/>
        <w:textAlignment w:val="baseline"/>
        <w:rPr>
          <w:color w:val="111111"/>
          <w:sz w:val="28"/>
          <w:szCs w:val="28"/>
        </w:rPr>
      </w:pPr>
      <w:r w:rsidRPr="00B55BF7">
        <w:rPr>
          <w:color w:val="111111"/>
          <w:sz w:val="28"/>
          <w:szCs w:val="28"/>
        </w:rPr>
        <w:tab/>
        <w:t>Местные нормативы градостроительного проектирования включают в себя:</w:t>
      </w:r>
    </w:p>
    <w:p w:rsidR="0085600F" w:rsidRPr="00B55BF7" w:rsidRDefault="0085600F" w:rsidP="0085600F">
      <w:pPr>
        <w:shd w:val="clear" w:color="auto" w:fill="FFFFFF"/>
        <w:jc w:val="both"/>
        <w:textAlignment w:val="baseline"/>
        <w:rPr>
          <w:color w:val="111111"/>
          <w:sz w:val="28"/>
          <w:szCs w:val="28"/>
        </w:rPr>
      </w:pPr>
      <w:r w:rsidRPr="00B55BF7">
        <w:rPr>
          <w:color w:val="111111"/>
          <w:sz w:val="28"/>
          <w:szCs w:val="28"/>
        </w:rPr>
        <w:tab/>
        <w:t>нормативы градостроительного проектирования муниципального района;</w:t>
      </w:r>
    </w:p>
    <w:p w:rsidR="0085600F" w:rsidRPr="00B55BF7" w:rsidRDefault="0085600F" w:rsidP="0085600F">
      <w:pPr>
        <w:shd w:val="clear" w:color="auto" w:fill="FFFFFF"/>
        <w:jc w:val="both"/>
        <w:textAlignment w:val="baseline"/>
        <w:rPr>
          <w:color w:val="111111"/>
          <w:sz w:val="28"/>
          <w:szCs w:val="28"/>
        </w:rPr>
      </w:pPr>
      <w:r w:rsidRPr="00B55BF7">
        <w:rPr>
          <w:color w:val="111111"/>
          <w:sz w:val="28"/>
          <w:szCs w:val="28"/>
        </w:rPr>
        <w:tab/>
        <w:t>нормативы градостроительного проектирования поселения;</w:t>
      </w:r>
    </w:p>
    <w:p w:rsidR="0085600F" w:rsidRPr="00AB43B4" w:rsidRDefault="0085600F" w:rsidP="0085600F">
      <w:pPr>
        <w:shd w:val="clear" w:color="auto" w:fill="FFFFFF"/>
        <w:jc w:val="both"/>
        <w:textAlignment w:val="baseline"/>
        <w:rPr>
          <w:color w:val="111111"/>
          <w:sz w:val="28"/>
          <w:szCs w:val="28"/>
        </w:rPr>
      </w:pPr>
      <w:r w:rsidRPr="00B55BF7">
        <w:rPr>
          <w:color w:val="111111"/>
          <w:sz w:val="28"/>
          <w:szCs w:val="28"/>
        </w:rPr>
        <w:tab/>
      </w:r>
      <w:r w:rsidRPr="00AB43B4">
        <w:rPr>
          <w:color w:val="111111"/>
          <w:sz w:val="28"/>
          <w:szCs w:val="28"/>
        </w:rPr>
        <w:t>нормативы градостроительного проектирования городского округа.</w:t>
      </w:r>
    </w:p>
    <w:p w:rsidR="0085600F" w:rsidRPr="00AB43B4" w:rsidRDefault="0085600F" w:rsidP="0085600F">
      <w:pPr>
        <w:shd w:val="clear" w:color="auto" w:fill="FFFFFF"/>
        <w:jc w:val="both"/>
        <w:textAlignment w:val="baseline"/>
        <w:rPr>
          <w:color w:val="111111"/>
          <w:sz w:val="28"/>
          <w:szCs w:val="28"/>
        </w:rPr>
      </w:pPr>
      <w:r w:rsidRPr="00AB43B4">
        <w:rPr>
          <w:color w:val="111111"/>
          <w:sz w:val="28"/>
          <w:szCs w:val="28"/>
        </w:rPr>
        <w:t> </w:t>
      </w:r>
      <w:r w:rsidRPr="00AB43B4">
        <w:rPr>
          <w:color w:val="111111"/>
          <w:sz w:val="28"/>
          <w:szCs w:val="28"/>
        </w:rPr>
        <w:tab/>
      </w:r>
      <w:r w:rsidR="00AB43B4">
        <w:rPr>
          <w:color w:val="111111"/>
          <w:sz w:val="28"/>
          <w:szCs w:val="28"/>
        </w:rPr>
        <w:t>Н</w:t>
      </w:r>
      <w:r w:rsidRPr="00AB43B4">
        <w:rPr>
          <w:color w:val="111111"/>
          <w:sz w:val="28"/>
          <w:szCs w:val="28"/>
        </w:rPr>
        <w:t>ормативы разрабатываются в целях создания благоприятных условий жизнедеятельности населения путем обеспечения комплексности застройки транспортной, инженерной, социальной инфраструктуры, территориями общего пользования, объектами коммунально-бытового назначения и благоустройства территории.</w:t>
      </w:r>
    </w:p>
    <w:p w:rsidR="00312A80" w:rsidRDefault="0085600F" w:rsidP="00312A80">
      <w:pPr>
        <w:shd w:val="clear" w:color="auto" w:fill="FFFFFF"/>
        <w:jc w:val="both"/>
        <w:textAlignment w:val="baseline"/>
        <w:rPr>
          <w:color w:val="111111"/>
          <w:sz w:val="28"/>
          <w:szCs w:val="28"/>
        </w:rPr>
      </w:pPr>
      <w:r w:rsidRPr="00AB43B4">
        <w:rPr>
          <w:color w:val="111111"/>
          <w:sz w:val="28"/>
          <w:szCs w:val="28"/>
        </w:rPr>
        <w:tab/>
        <w:t>На территории Тимашевского района местные нормативы градостроительного проектирования утверждены решением Совета муниципального образования Тимашевский район от 17 июня 2015 г. № 514.</w:t>
      </w:r>
      <w:r>
        <w:rPr>
          <w:color w:val="111111"/>
          <w:sz w:val="28"/>
          <w:szCs w:val="28"/>
        </w:rPr>
        <w:t xml:space="preserve"> </w:t>
      </w:r>
      <w:r w:rsidRPr="00C87A27">
        <w:rPr>
          <w:color w:val="111111"/>
          <w:sz w:val="28"/>
          <w:szCs w:val="28"/>
        </w:rPr>
        <w:t> </w:t>
      </w:r>
    </w:p>
    <w:p w:rsidR="00312A80" w:rsidRDefault="00312A80" w:rsidP="00312A8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AB43B4">
        <w:rPr>
          <w:color w:val="111111"/>
          <w:sz w:val="28"/>
          <w:szCs w:val="28"/>
        </w:rPr>
        <w:t>П</w:t>
      </w:r>
      <w:r w:rsidR="0085600F" w:rsidRPr="00AB43B4">
        <w:rPr>
          <w:sz w:val="28"/>
          <w:szCs w:val="28"/>
        </w:rPr>
        <w:t>роектом МНПА предлагается</w:t>
      </w:r>
      <w:r w:rsidRPr="00AB43B4">
        <w:rPr>
          <w:sz w:val="28"/>
          <w:szCs w:val="28"/>
        </w:rPr>
        <w:t xml:space="preserve"> внести в решение Совета муниципального образования Тимашевский район от 17 июня 2015 г. № 514 «Об утверждении местных нормативов градостроительного проектирования Тимашевский район» изменения установив расчетные показатели обеспеченности нормы расчета учреждений и предприятий обслуживания и размеры земельных участков для их размещения, </w:t>
      </w:r>
      <w:r w:rsidRPr="00AB43B4">
        <w:rPr>
          <w:bCs/>
          <w:sz w:val="28"/>
          <w:szCs w:val="28"/>
        </w:rPr>
        <w:t>нормативные показатели плотности застройки территориальных зон, требования минимальной обеспеченности многоквартирных жилых домов придомовыми площадками, нормативные показатели обеспеченности парковочными местами</w:t>
      </w:r>
      <w:r w:rsidR="00D20FDC" w:rsidRPr="00AB43B4">
        <w:rPr>
          <w:bCs/>
          <w:sz w:val="28"/>
          <w:szCs w:val="28"/>
        </w:rPr>
        <w:t>,</w:t>
      </w:r>
      <w:r w:rsidRPr="00AB43B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AB43B4">
        <w:rPr>
          <w:bCs/>
          <w:sz w:val="28"/>
          <w:szCs w:val="28"/>
        </w:rPr>
        <w:t>площадь озелененных территорий общего пользования</w:t>
      </w:r>
      <w:r w:rsidR="00D20FDC" w:rsidRPr="00AB43B4">
        <w:rPr>
          <w:bCs/>
          <w:sz w:val="28"/>
          <w:szCs w:val="28"/>
        </w:rPr>
        <w:t xml:space="preserve">, </w:t>
      </w:r>
      <w:r w:rsidRPr="00AB43B4">
        <w:rPr>
          <w:bCs/>
          <w:sz w:val="28"/>
          <w:szCs w:val="28"/>
        </w:rPr>
        <w:t>расчетные показатели объектов улично-дорожной сети на территории населенных пунктов</w:t>
      </w:r>
      <w:r w:rsidRPr="00AB43B4">
        <w:rPr>
          <w:sz w:val="28"/>
          <w:szCs w:val="28"/>
        </w:rPr>
        <w:t xml:space="preserve"> в соответствии с приказом департамента по архитектуре и градостроительству Краснодарского края от 16 апреля 2015 года № 78 «Об утверждении нормативов градостроительного проектирования Краснодарского края» в редакции от 14 декабря 2021 г. № 330.</w:t>
      </w:r>
    </w:p>
    <w:p w:rsidR="00AB43B4" w:rsidRDefault="00AB43B4" w:rsidP="00AB43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предлагаемом Проекте отсутствуют конкретные детальные изменения в местные нормативы градостроительного проектирования Тимашевский район, а именно в приложениях к Проекту не закреплены окончательные показатели изменяемых нормативов, а указана ссылка на Приказ департамента № 78. </w:t>
      </w:r>
    </w:p>
    <w:p w:rsidR="00AB43B4" w:rsidRDefault="00AB43B4" w:rsidP="00AB4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Принятие Проекта создаст </w:t>
      </w:r>
      <w:r>
        <w:rPr>
          <w:rFonts w:ascii="Times New Roman" w:hAnsi="Times New Roman" w:cs="Times New Roman"/>
          <w:sz w:val="28"/>
          <w:szCs w:val="28"/>
        </w:rPr>
        <w:t xml:space="preserve">субъектам предпринимательской и иной экономической деятельности Тимашевского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необоснованные затруднения для осуществления предпринимательской и иной экономической деятельности. </w:t>
      </w:r>
    </w:p>
    <w:p w:rsidR="00CA2F2C" w:rsidRPr="00F238E5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F238E5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F238E5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F238E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</w:t>
      </w:r>
      <w:r w:rsidR="00B97864" w:rsidRPr="00F238E5">
        <w:rPr>
          <w:rFonts w:ascii="Times New Roman" w:hAnsi="Times New Roman" w:cs="Times New Roman"/>
          <w:sz w:val="28"/>
          <w:szCs w:val="28"/>
        </w:rPr>
        <w:t xml:space="preserve">бличные консультации по проекту </w:t>
      </w:r>
      <w:r w:rsidRPr="00F238E5">
        <w:rPr>
          <w:rFonts w:ascii="Times New Roman" w:hAnsi="Times New Roman" w:cs="Times New Roman"/>
          <w:sz w:val="28"/>
          <w:szCs w:val="28"/>
        </w:rPr>
        <w:t>в период с</w:t>
      </w:r>
      <w:r w:rsidR="000678AC" w:rsidRPr="00F238E5">
        <w:rPr>
          <w:rFonts w:ascii="Times New Roman" w:hAnsi="Times New Roman" w:cs="Times New Roman"/>
          <w:sz w:val="28"/>
          <w:szCs w:val="28"/>
        </w:rPr>
        <w:t xml:space="preserve"> </w:t>
      </w:r>
      <w:r w:rsidR="00F238E5" w:rsidRPr="00F238E5">
        <w:rPr>
          <w:rFonts w:ascii="Times New Roman" w:hAnsi="Times New Roman" w:cs="Times New Roman"/>
          <w:sz w:val="28"/>
          <w:szCs w:val="28"/>
        </w:rPr>
        <w:t>23</w:t>
      </w:r>
      <w:r w:rsidR="006F5514" w:rsidRPr="00F238E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F238E5">
        <w:rPr>
          <w:rFonts w:ascii="Times New Roman" w:hAnsi="Times New Roman" w:cs="Times New Roman"/>
          <w:sz w:val="28"/>
          <w:szCs w:val="28"/>
        </w:rPr>
        <w:t>20</w:t>
      </w:r>
      <w:r w:rsidR="00CA1309" w:rsidRPr="00F238E5">
        <w:rPr>
          <w:rFonts w:ascii="Times New Roman" w:hAnsi="Times New Roman" w:cs="Times New Roman"/>
          <w:sz w:val="28"/>
          <w:szCs w:val="28"/>
        </w:rPr>
        <w:t>2</w:t>
      </w:r>
      <w:r w:rsidR="00B97864" w:rsidRPr="00F238E5">
        <w:rPr>
          <w:rFonts w:ascii="Times New Roman" w:hAnsi="Times New Roman" w:cs="Times New Roman"/>
          <w:sz w:val="28"/>
          <w:szCs w:val="28"/>
        </w:rPr>
        <w:t>2</w:t>
      </w:r>
      <w:r w:rsidRPr="00F238E5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F238E5">
        <w:rPr>
          <w:rFonts w:ascii="Times New Roman" w:hAnsi="Times New Roman" w:cs="Times New Roman"/>
          <w:sz w:val="28"/>
          <w:szCs w:val="28"/>
        </w:rPr>
        <w:t>.</w:t>
      </w:r>
      <w:r w:rsidRPr="00F238E5">
        <w:rPr>
          <w:rFonts w:ascii="Times New Roman" w:hAnsi="Times New Roman" w:cs="Times New Roman"/>
          <w:sz w:val="28"/>
          <w:szCs w:val="28"/>
        </w:rPr>
        <w:t xml:space="preserve"> по </w:t>
      </w:r>
      <w:r w:rsidR="00F238E5" w:rsidRPr="00F238E5">
        <w:rPr>
          <w:rFonts w:ascii="Times New Roman" w:hAnsi="Times New Roman" w:cs="Times New Roman"/>
          <w:sz w:val="28"/>
          <w:szCs w:val="28"/>
        </w:rPr>
        <w:t xml:space="preserve">6 июня </w:t>
      </w:r>
      <w:r w:rsidRPr="00F238E5">
        <w:rPr>
          <w:rFonts w:ascii="Times New Roman" w:hAnsi="Times New Roman" w:cs="Times New Roman"/>
          <w:sz w:val="28"/>
          <w:szCs w:val="28"/>
        </w:rPr>
        <w:t>20</w:t>
      </w:r>
      <w:r w:rsidR="00CA1309" w:rsidRPr="00F238E5">
        <w:rPr>
          <w:rFonts w:ascii="Times New Roman" w:hAnsi="Times New Roman" w:cs="Times New Roman"/>
          <w:sz w:val="28"/>
          <w:szCs w:val="28"/>
        </w:rPr>
        <w:t>2</w:t>
      </w:r>
      <w:r w:rsidR="00B97864" w:rsidRPr="00F238E5">
        <w:rPr>
          <w:rFonts w:ascii="Times New Roman" w:hAnsi="Times New Roman" w:cs="Times New Roman"/>
          <w:sz w:val="28"/>
          <w:szCs w:val="28"/>
        </w:rPr>
        <w:t>2</w:t>
      </w:r>
      <w:r w:rsidRPr="00F238E5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F238E5">
        <w:rPr>
          <w:rFonts w:ascii="Times New Roman" w:hAnsi="Times New Roman" w:cs="Times New Roman"/>
          <w:sz w:val="28"/>
          <w:szCs w:val="28"/>
        </w:rPr>
        <w:t>.</w:t>
      </w:r>
    </w:p>
    <w:p w:rsidR="00A3304F" w:rsidRPr="00F238E5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F238E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238E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238E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F238E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238E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238E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F238E5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Лукоянову</w:t>
      </w:r>
      <w:r w:rsidR="006B497F" w:rsidRPr="00F238E5">
        <w:rPr>
          <w:rFonts w:ascii="Times New Roman" w:hAnsi="Times New Roman" w:cs="Times New Roman"/>
          <w:sz w:val="28"/>
          <w:szCs w:val="28"/>
        </w:rPr>
        <w:t xml:space="preserve"> Ю.В.</w:t>
      </w:r>
      <w:r w:rsidRPr="00F238E5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палата» Шпыгарь</w:t>
      </w:r>
      <w:r w:rsidR="00632DE5" w:rsidRPr="00F238E5">
        <w:rPr>
          <w:rFonts w:ascii="Times New Roman" w:hAnsi="Times New Roman" w:cs="Times New Roman"/>
          <w:sz w:val="28"/>
          <w:szCs w:val="28"/>
        </w:rPr>
        <w:t xml:space="preserve"> Г.В.</w:t>
      </w:r>
      <w:r w:rsidRPr="00F238E5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хозяйств и сельскохозяйственных кооперативов Тимашевского района Авдееву</w:t>
      </w:r>
      <w:r w:rsidR="006B497F" w:rsidRPr="00F238E5">
        <w:rPr>
          <w:rFonts w:ascii="Times New Roman" w:hAnsi="Times New Roman" w:cs="Times New Roman"/>
          <w:sz w:val="28"/>
          <w:szCs w:val="28"/>
        </w:rPr>
        <w:t xml:space="preserve"> </w:t>
      </w:r>
      <w:r w:rsidR="00632DE5" w:rsidRPr="00F238E5">
        <w:rPr>
          <w:rFonts w:ascii="Times New Roman" w:hAnsi="Times New Roman" w:cs="Times New Roman"/>
          <w:sz w:val="28"/>
          <w:szCs w:val="28"/>
        </w:rPr>
        <w:t>П.В.</w:t>
      </w:r>
      <w:r w:rsidRPr="00F238E5">
        <w:rPr>
          <w:rFonts w:ascii="Times New Roman" w:hAnsi="Times New Roman" w:cs="Times New Roman"/>
          <w:sz w:val="28"/>
          <w:szCs w:val="28"/>
        </w:rPr>
        <w:t>, индивидуальному предпринимателю Волошиной</w:t>
      </w:r>
      <w:r w:rsidR="00632DE5" w:rsidRPr="00F238E5">
        <w:rPr>
          <w:rFonts w:ascii="Times New Roman" w:hAnsi="Times New Roman" w:cs="Times New Roman"/>
          <w:sz w:val="28"/>
          <w:szCs w:val="28"/>
        </w:rPr>
        <w:t xml:space="preserve"> О.И.</w:t>
      </w:r>
      <w:r w:rsidRPr="00F238E5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Горшковой</w:t>
      </w:r>
      <w:r w:rsidR="00632DE5" w:rsidRPr="00F238E5">
        <w:rPr>
          <w:rFonts w:ascii="Times New Roman" w:hAnsi="Times New Roman" w:cs="Times New Roman"/>
          <w:sz w:val="28"/>
          <w:szCs w:val="28"/>
        </w:rPr>
        <w:t xml:space="preserve"> Н.А.</w:t>
      </w:r>
      <w:r w:rsidRPr="00F238E5">
        <w:rPr>
          <w:rFonts w:ascii="Times New Roman" w:hAnsi="Times New Roman" w:cs="Times New Roman"/>
          <w:sz w:val="28"/>
          <w:szCs w:val="28"/>
        </w:rPr>
        <w:t>, индивидуальному предпринимателю  Озерову</w:t>
      </w:r>
      <w:r w:rsidR="00632DE5" w:rsidRPr="00F238E5">
        <w:rPr>
          <w:rFonts w:ascii="Times New Roman" w:hAnsi="Times New Roman" w:cs="Times New Roman"/>
          <w:sz w:val="28"/>
          <w:szCs w:val="28"/>
        </w:rPr>
        <w:t xml:space="preserve"> В.В.</w:t>
      </w:r>
      <w:r w:rsidRPr="00F238E5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Тимашевский район Ананьеву</w:t>
      </w:r>
      <w:r w:rsidR="00632DE5" w:rsidRPr="00F238E5">
        <w:rPr>
          <w:rFonts w:ascii="Times New Roman" w:hAnsi="Times New Roman" w:cs="Times New Roman"/>
          <w:sz w:val="28"/>
          <w:szCs w:val="28"/>
        </w:rPr>
        <w:t xml:space="preserve"> Д.А.</w:t>
      </w:r>
      <w:r w:rsidRPr="00F238E5">
        <w:rPr>
          <w:rFonts w:ascii="Times New Roman" w:hAnsi="Times New Roman" w:cs="Times New Roman"/>
          <w:sz w:val="28"/>
          <w:szCs w:val="28"/>
        </w:rPr>
        <w:t>, директору ООО Научно-производственное внедренческое предприятие «Ветфарм» Трошину</w:t>
      </w:r>
      <w:r w:rsidR="00632DE5" w:rsidRPr="00F238E5">
        <w:rPr>
          <w:rFonts w:ascii="Times New Roman" w:hAnsi="Times New Roman" w:cs="Times New Roman"/>
          <w:sz w:val="28"/>
          <w:szCs w:val="28"/>
        </w:rPr>
        <w:t xml:space="preserve"> А.Н.</w:t>
      </w:r>
      <w:r w:rsidRPr="00F238E5">
        <w:rPr>
          <w:rFonts w:ascii="Times New Roman" w:hAnsi="Times New Roman" w:cs="Times New Roman"/>
          <w:sz w:val="28"/>
          <w:szCs w:val="28"/>
        </w:rPr>
        <w:t>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4905CE" w:rsidRPr="00B55BF7" w:rsidRDefault="004905CE" w:rsidP="004905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BF7">
        <w:rPr>
          <w:rFonts w:ascii="Times New Roman" w:hAnsi="Times New Roman" w:cs="Times New Roman"/>
          <w:sz w:val="28"/>
          <w:szCs w:val="28"/>
        </w:rPr>
        <w:t xml:space="preserve">9. В период проведения публичных консультаций </w:t>
      </w:r>
      <w:r w:rsidR="00DB02A5" w:rsidRPr="00B55BF7">
        <w:rPr>
          <w:rFonts w:ascii="Times New Roman" w:hAnsi="Times New Roman" w:cs="Times New Roman"/>
          <w:sz w:val="28"/>
          <w:szCs w:val="28"/>
        </w:rPr>
        <w:t xml:space="preserve">30 мая </w:t>
      </w:r>
      <w:r w:rsidRPr="00B55BF7">
        <w:rPr>
          <w:rFonts w:ascii="Times New Roman" w:hAnsi="Times New Roman" w:cs="Times New Roman"/>
          <w:sz w:val="28"/>
          <w:szCs w:val="28"/>
        </w:rPr>
        <w:t>202</w:t>
      </w:r>
      <w:r w:rsidR="00DB02A5" w:rsidRPr="00B55BF7">
        <w:rPr>
          <w:rFonts w:ascii="Times New Roman" w:hAnsi="Times New Roman" w:cs="Times New Roman"/>
          <w:sz w:val="28"/>
          <w:szCs w:val="28"/>
        </w:rPr>
        <w:t>2</w:t>
      </w:r>
      <w:r w:rsidRPr="00B55BF7">
        <w:rPr>
          <w:rFonts w:ascii="Times New Roman" w:hAnsi="Times New Roman" w:cs="Times New Roman"/>
          <w:sz w:val="28"/>
          <w:szCs w:val="28"/>
        </w:rPr>
        <w:t xml:space="preserve"> г. поступило 1 замечание от Союза «Тимашевская Торгово-промышленная палата»:</w:t>
      </w:r>
    </w:p>
    <w:p w:rsidR="00B55BF7" w:rsidRDefault="00B55BF7" w:rsidP="00B55BF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55BF7">
        <w:rPr>
          <w:sz w:val="28"/>
          <w:szCs w:val="28"/>
        </w:rPr>
        <w:t xml:space="preserve">      </w:t>
      </w:r>
      <w:r w:rsidRPr="00B55BF7">
        <w:rPr>
          <w:color w:val="111111"/>
          <w:sz w:val="28"/>
          <w:szCs w:val="28"/>
        </w:rPr>
        <w:t>П</w:t>
      </w:r>
      <w:r w:rsidRPr="00B55BF7">
        <w:rPr>
          <w:sz w:val="28"/>
          <w:szCs w:val="28"/>
        </w:rPr>
        <w:t>роектом предлагается внести в решение Совета муниципального образования</w:t>
      </w:r>
      <w:r>
        <w:rPr>
          <w:sz w:val="28"/>
          <w:szCs w:val="28"/>
        </w:rPr>
        <w:t xml:space="preserve"> Тимашевский район от 17 июня 2015 г. № 514 «Об утверждении местных нормативов градостроительного проектирования Тимашевский район» (далее – решение Совета № 514) изменения установив расчетные показатели обеспеченности нормы расчета учреждений и предприятий обслуживания и размеры земельных участков для их размещения, </w:t>
      </w:r>
      <w:r>
        <w:rPr>
          <w:bCs/>
          <w:sz w:val="28"/>
          <w:szCs w:val="28"/>
        </w:rPr>
        <w:t>нормативные показатели плотности застройки территориальных зон, требования минимальной обеспеченности многоквартирных жилых домов придомовыми площадками, нормативные показатели обеспеченности парковочными местами,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площадь озелененных территорий общего пользования, расчетные показатели объектов улично-дорожной сети на территории населенных пунктов</w:t>
      </w:r>
      <w:r>
        <w:rPr>
          <w:sz w:val="28"/>
          <w:szCs w:val="28"/>
        </w:rPr>
        <w:t xml:space="preserve"> в соответствии с приказом департамента по архитектуре и градостроительству Краснодарского края от 16 апреля 2015 года № 78 «Об утверждении нормативов градостроительного проектирования Краснодарского края» в редакции от 14 декабря 2021 г. № 330 (далее – Приказ департамента № 78).</w:t>
      </w:r>
    </w:p>
    <w:p w:rsidR="00B55BF7" w:rsidRDefault="00B55BF7" w:rsidP="00B55B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предлагаемом Проекте отсутствуют конкретные детальные изменения в местные нормативы градостроительного проектирования Тимашевский район, а именно в приложениях к Проекту не закреплены окончательные показатели изменяемых нормативов, а указана ссылка на Приказ департамента № 78. </w:t>
      </w:r>
    </w:p>
    <w:p w:rsidR="00B55BF7" w:rsidRDefault="00B55BF7" w:rsidP="00B55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Принятие Проекта создаст </w:t>
      </w:r>
      <w:r>
        <w:rPr>
          <w:rFonts w:ascii="Times New Roman" w:hAnsi="Times New Roman" w:cs="Times New Roman"/>
          <w:sz w:val="28"/>
          <w:szCs w:val="28"/>
        </w:rPr>
        <w:t xml:space="preserve">субъектам предпринимательской и иной экономической деятельности Тимашевского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необоснованные затруднения для осуществления предпринимательской и иной экономической деятельности. </w:t>
      </w:r>
    </w:p>
    <w:p w:rsidR="00B55BF7" w:rsidRDefault="00B55BF7" w:rsidP="00B55B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5BF7">
        <w:rPr>
          <w:rFonts w:ascii="Times New Roman" w:hAnsi="Times New Roman" w:cs="Times New Roman"/>
          <w:sz w:val="28"/>
          <w:szCs w:val="28"/>
        </w:rPr>
        <w:t>Союз «Тимашевская Торгово-промышленная палата» предлагает р</w:t>
      </w:r>
      <w:r w:rsidRPr="00B55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ассмотреть возможность внесения в Проект окончательных показателей изменяемых нормативов градостроительного проектирования Тимашевский район с разбивкой по показателям.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905CE" w:rsidRPr="00B55BF7" w:rsidRDefault="004905CE" w:rsidP="004905CE">
      <w:pPr>
        <w:tabs>
          <w:tab w:val="left" w:pos="-284"/>
        </w:tabs>
        <w:jc w:val="both"/>
        <w:rPr>
          <w:sz w:val="28"/>
          <w:szCs w:val="28"/>
        </w:rPr>
      </w:pPr>
      <w:r w:rsidRPr="00B55BF7">
        <w:rPr>
          <w:sz w:val="28"/>
          <w:szCs w:val="28"/>
        </w:rPr>
        <w:tab/>
        <w:t>Обращение рассмотрено. Замечания учтены. Разработчику предлагается</w:t>
      </w:r>
      <w:r w:rsidR="00011748" w:rsidRPr="00B55BF7">
        <w:rPr>
          <w:sz w:val="28"/>
          <w:szCs w:val="28"/>
        </w:rPr>
        <w:t xml:space="preserve"> внести изменения в проект МНПА</w:t>
      </w:r>
      <w:r w:rsidRPr="00B55BF7">
        <w:rPr>
          <w:sz w:val="28"/>
          <w:szCs w:val="28"/>
        </w:rPr>
        <w:t>.</w:t>
      </w:r>
    </w:p>
    <w:p w:rsidR="004905CE" w:rsidRDefault="004905CE" w:rsidP="004905CE">
      <w:pPr>
        <w:ind w:firstLine="708"/>
        <w:jc w:val="both"/>
        <w:rPr>
          <w:rStyle w:val="blk"/>
          <w:sz w:val="28"/>
          <w:szCs w:val="28"/>
        </w:rPr>
      </w:pPr>
      <w:r w:rsidRPr="009C0C25">
        <w:rPr>
          <w:sz w:val="28"/>
          <w:szCs w:val="28"/>
        </w:rPr>
        <w:t xml:space="preserve">10. По результатам оценки регулирующего воздействия представленного проекта муниципального нормативного правового акта сделаны выводы </w:t>
      </w:r>
      <w:r w:rsidRPr="009C0C25">
        <w:rPr>
          <w:sz w:val="28"/>
          <w:szCs w:val="28"/>
          <w:lang w:bidi="ru-RU"/>
        </w:rPr>
        <w:t>о невозможности его дальнейшего согласования с учетом рисков, изложенных в заключении</w:t>
      </w:r>
      <w:r w:rsidRPr="009C0C25">
        <w:rPr>
          <w:rStyle w:val="blk"/>
          <w:sz w:val="28"/>
          <w:szCs w:val="28"/>
        </w:rPr>
        <w:t>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AB43B4" w:rsidRPr="000E4313" w:rsidRDefault="00AB43B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AB4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25" w:rsidRDefault="00D95425" w:rsidP="00EA4018">
      <w:r>
        <w:separator/>
      </w:r>
    </w:p>
  </w:endnote>
  <w:endnote w:type="continuationSeparator" w:id="0">
    <w:p w:rsidR="00D95425" w:rsidRDefault="00D9542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25" w:rsidRDefault="00D95425" w:rsidP="00EA4018">
      <w:r>
        <w:separator/>
      </w:r>
    </w:p>
  </w:footnote>
  <w:footnote w:type="continuationSeparator" w:id="0">
    <w:p w:rsidR="00D95425" w:rsidRDefault="00D9542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D2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C7602"/>
    <w:multiLevelType w:val="multilevel"/>
    <w:tmpl w:val="7026D06A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isLgl/>
      <w:lvlText w:val="%1.%2."/>
      <w:lvlJc w:val="left"/>
      <w:pPr>
        <w:ind w:left="2055" w:hanging="1335"/>
      </w:pPr>
    </w:lvl>
    <w:lvl w:ilvl="2">
      <w:start w:val="1"/>
      <w:numFmt w:val="decimal"/>
      <w:isLgl/>
      <w:lvlText w:val="%1.%2.%3."/>
      <w:lvlJc w:val="left"/>
      <w:pPr>
        <w:ind w:left="2055" w:hanging="1335"/>
      </w:pPr>
    </w:lvl>
    <w:lvl w:ilvl="3">
      <w:start w:val="1"/>
      <w:numFmt w:val="decimal"/>
      <w:isLgl/>
      <w:lvlText w:val="%1.%2.%3.%4."/>
      <w:lvlJc w:val="left"/>
      <w:pPr>
        <w:ind w:left="2055" w:hanging="1335"/>
      </w:pPr>
    </w:lvl>
    <w:lvl w:ilvl="4">
      <w:start w:val="1"/>
      <w:numFmt w:val="decimal"/>
      <w:isLgl/>
      <w:lvlText w:val="%1.%2.%3.%4.%5."/>
      <w:lvlJc w:val="left"/>
      <w:pPr>
        <w:ind w:left="2055" w:hanging="133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174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2B16"/>
    <w:rsid w:val="0006423F"/>
    <w:rsid w:val="000678AC"/>
    <w:rsid w:val="000703C2"/>
    <w:rsid w:val="00070FE3"/>
    <w:rsid w:val="00071C7B"/>
    <w:rsid w:val="0007303A"/>
    <w:rsid w:val="0007478C"/>
    <w:rsid w:val="00081FF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6BD1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38D6"/>
    <w:rsid w:val="000D5DFB"/>
    <w:rsid w:val="000D604D"/>
    <w:rsid w:val="000E0790"/>
    <w:rsid w:val="000E4313"/>
    <w:rsid w:val="000E4F6B"/>
    <w:rsid w:val="000E5CDD"/>
    <w:rsid w:val="000E7037"/>
    <w:rsid w:val="000F2340"/>
    <w:rsid w:val="000F2A6A"/>
    <w:rsid w:val="000F47FA"/>
    <w:rsid w:val="000F4940"/>
    <w:rsid w:val="000F7560"/>
    <w:rsid w:val="000F7710"/>
    <w:rsid w:val="000F7ABD"/>
    <w:rsid w:val="000F7E84"/>
    <w:rsid w:val="00100E1F"/>
    <w:rsid w:val="00101171"/>
    <w:rsid w:val="001019FF"/>
    <w:rsid w:val="00103DFC"/>
    <w:rsid w:val="00104C92"/>
    <w:rsid w:val="0010680F"/>
    <w:rsid w:val="00114638"/>
    <w:rsid w:val="00117CCF"/>
    <w:rsid w:val="00117DA8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61DA7"/>
    <w:rsid w:val="0017398E"/>
    <w:rsid w:val="00177C3D"/>
    <w:rsid w:val="001806AF"/>
    <w:rsid w:val="0018197F"/>
    <w:rsid w:val="00182E3B"/>
    <w:rsid w:val="00183155"/>
    <w:rsid w:val="0018348A"/>
    <w:rsid w:val="0018368C"/>
    <w:rsid w:val="00184E7E"/>
    <w:rsid w:val="0019065D"/>
    <w:rsid w:val="001911E2"/>
    <w:rsid w:val="00191C5F"/>
    <w:rsid w:val="0019427D"/>
    <w:rsid w:val="001951D6"/>
    <w:rsid w:val="001A0798"/>
    <w:rsid w:val="001A133C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37E"/>
    <w:rsid w:val="00245BD3"/>
    <w:rsid w:val="002470D1"/>
    <w:rsid w:val="00253457"/>
    <w:rsid w:val="00254CA1"/>
    <w:rsid w:val="002575C0"/>
    <w:rsid w:val="0026326C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CB7"/>
    <w:rsid w:val="002B02B3"/>
    <w:rsid w:val="002B48E7"/>
    <w:rsid w:val="002C3004"/>
    <w:rsid w:val="002D02AC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1953"/>
    <w:rsid w:val="00312656"/>
    <w:rsid w:val="00312A80"/>
    <w:rsid w:val="0031425D"/>
    <w:rsid w:val="003158BE"/>
    <w:rsid w:val="00315EE3"/>
    <w:rsid w:val="003178E2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4E2A"/>
    <w:rsid w:val="00360DA8"/>
    <w:rsid w:val="00361D97"/>
    <w:rsid w:val="0036487E"/>
    <w:rsid w:val="00365B3D"/>
    <w:rsid w:val="00367374"/>
    <w:rsid w:val="00371065"/>
    <w:rsid w:val="00372BEE"/>
    <w:rsid w:val="00372F0D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B4D"/>
    <w:rsid w:val="003C77F2"/>
    <w:rsid w:val="003D58CE"/>
    <w:rsid w:val="003D6D10"/>
    <w:rsid w:val="003D77B4"/>
    <w:rsid w:val="003E19F6"/>
    <w:rsid w:val="003E2D1D"/>
    <w:rsid w:val="003E5A3F"/>
    <w:rsid w:val="003F1343"/>
    <w:rsid w:val="003F2CD0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411A"/>
    <w:rsid w:val="004264BB"/>
    <w:rsid w:val="00427B02"/>
    <w:rsid w:val="00430961"/>
    <w:rsid w:val="00431E27"/>
    <w:rsid w:val="00432093"/>
    <w:rsid w:val="00433C4D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05CE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4C76"/>
    <w:rsid w:val="004B5FFE"/>
    <w:rsid w:val="004B6799"/>
    <w:rsid w:val="004C45AB"/>
    <w:rsid w:val="004C4730"/>
    <w:rsid w:val="004C6943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0F97"/>
    <w:rsid w:val="0052196C"/>
    <w:rsid w:val="005271C9"/>
    <w:rsid w:val="005313F9"/>
    <w:rsid w:val="0054044D"/>
    <w:rsid w:val="00541601"/>
    <w:rsid w:val="00541ADF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4787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439"/>
    <w:rsid w:val="005A6E6C"/>
    <w:rsid w:val="005B0F37"/>
    <w:rsid w:val="005B27AC"/>
    <w:rsid w:val="005B332D"/>
    <w:rsid w:val="005B379A"/>
    <w:rsid w:val="005B3914"/>
    <w:rsid w:val="005B40AD"/>
    <w:rsid w:val="005C26AE"/>
    <w:rsid w:val="005C49CF"/>
    <w:rsid w:val="005C5484"/>
    <w:rsid w:val="005C59C5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2DE5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497F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053"/>
    <w:rsid w:val="006D7A1D"/>
    <w:rsid w:val="006E00F6"/>
    <w:rsid w:val="006E188F"/>
    <w:rsid w:val="006E1A20"/>
    <w:rsid w:val="006F0BE7"/>
    <w:rsid w:val="006F2CCD"/>
    <w:rsid w:val="006F31D6"/>
    <w:rsid w:val="006F33E6"/>
    <w:rsid w:val="006F4C82"/>
    <w:rsid w:val="006F5514"/>
    <w:rsid w:val="006F57BA"/>
    <w:rsid w:val="006F64C8"/>
    <w:rsid w:val="007012FA"/>
    <w:rsid w:val="00702251"/>
    <w:rsid w:val="0070584F"/>
    <w:rsid w:val="00706606"/>
    <w:rsid w:val="00710892"/>
    <w:rsid w:val="00713760"/>
    <w:rsid w:val="00722999"/>
    <w:rsid w:val="007230BC"/>
    <w:rsid w:val="00724907"/>
    <w:rsid w:val="00730340"/>
    <w:rsid w:val="007307C5"/>
    <w:rsid w:val="0073416E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872B1"/>
    <w:rsid w:val="00790727"/>
    <w:rsid w:val="00790B10"/>
    <w:rsid w:val="0079226C"/>
    <w:rsid w:val="0079477C"/>
    <w:rsid w:val="007975A6"/>
    <w:rsid w:val="007A3443"/>
    <w:rsid w:val="007A34F2"/>
    <w:rsid w:val="007A4036"/>
    <w:rsid w:val="007A6247"/>
    <w:rsid w:val="007A7718"/>
    <w:rsid w:val="007B1C30"/>
    <w:rsid w:val="007B2D20"/>
    <w:rsid w:val="007B39AB"/>
    <w:rsid w:val="007B5FCD"/>
    <w:rsid w:val="007C0307"/>
    <w:rsid w:val="007C2540"/>
    <w:rsid w:val="007C4A4E"/>
    <w:rsid w:val="007D0318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69F"/>
    <w:rsid w:val="00840A74"/>
    <w:rsid w:val="00842A6C"/>
    <w:rsid w:val="00843AC9"/>
    <w:rsid w:val="008446D1"/>
    <w:rsid w:val="00847099"/>
    <w:rsid w:val="00853957"/>
    <w:rsid w:val="00854F9B"/>
    <w:rsid w:val="0085600F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B7F35"/>
    <w:rsid w:val="008C2CB5"/>
    <w:rsid w:val="008C6DEB"/>
    <w:rsid w:val="008C7316"/>
    <w:rsid w:val="008D02D0"/>
    <w:rsid w:val="008D03D6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6578"/>
    <w:rsid w:val="0094752A"/>
    <w:rsid w:val="00953EC7"/>
    <w:rsid w:val="009613C2"/>
    <w:rsid w:val="00961787"/>
    <w:rsid w:val="009709A8"/>
    <w:rsid w:val="00970BD2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0C25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2950"/>
    <w:rsid w:val="009E47E6"/>
    <w:rsid w:val="009E4C43"/>
    <w:rsid w:val="009E5A6E"/>
    <w:rsid w:val="009E7C6D"/>
    <w:rsid w:val="009F0FDB"/>
    <w:rsid w:val="009F24D2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143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FE8"/>
    <w:rsid w:val="00A63F22"/>
    <w:rsid w:val="00A65D26"/>
    <w:rsid w:val="00A7102A"/>
    <w:rsid w:val="00A747D7"/>
    <w:rsid w:val="00A75336"/>
    <w:rsid w:val="00A76F7F"/>
    <w:rsid w:val="00A80CC1"/>
    <w:rsid w:val="00A82204"/>
    <w:rsid w:val="00A84440"/>
    <w:rsid w:val="00A854EB"/>
    <w:rsid w:val="00A91289"/>
    <w:rsid w:val="00A93C7D"/>
    <w:rsid w:val="00A95830"/>
    <w:rsid w:val="00A95AA6"/>
    <w:rsid w:val="00AA0EBB"/>
    <w:rsid w:val="00AA292B"/>
    <w:rsid w:val="00AA63B0"/>
    <w:rsid w:val="00AB3F4D"/>
    <w:rsid w:val="00AB43B4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136D4"/>
    <w:rsid w:val="00B21B0B"/>
    <w:rsid w:val="00B25A48"/>
    <w:rsid w:val="00B27DE0"/>
    <w:rsid w:val="00B31349"/>
    <w:rsid w:val="00B31A35"/>
    <w:rsid w:val="00B34005"/>
    <w:rsid w:val="00B379A8"/>
    <w:rsid w:val="00B47171"/>
    <w:rsid w:val="00B5063C"/>
    <w:rsid w:val="00B51AAE"/>
    <w:rsid w:val="00B55BF7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864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11D"/>
    <w:rsid w:val="00C16A29"/>
    <w:rsid w:val="00C1711A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53C5A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4419"/>
    <w:rsid w:val="00C85D73"/>
    <w:rsid w:val="00C874E2"/>
    <w:rsid w:val="00C90A62"/>
    <w:rsid w:val="00C92086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A475F"/>
    <w:rsid w:val="00CB0376"/>
    <w:rsid w:val="00CB0CD3"/>
    <w:rsid w:val="00CB1527"/>
    <w:rsid w:val="00CB2025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1612D"/>
    <w:rsid w:val="00D20FDC"/>
    <w:rsid w:val="00D224C0"/>
    <w:rsid w:val="00D24FAE"/>
    <w:rsid w:val="00D25976"/>
    <w:rsid w:val="00D25D85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425"/>
    <w:rsid w:val="00D95A77"/>
    <w:rsid w:val="00DA0ECA"/>
    <w:rsid w:val="00DA0FF9"/>
    <w:rsid w:val="00DA5835"/>
    <w:rsid w:val="00DA667A"/>
    <w:rsid w:val="00DB02A5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0C0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0A1E"/>
    <w:rsid w:val="00E26D4D"/>
    <w:rsid w:val="00E26FCF"/>
    <w:rsid w:val="00E27F1A"/>
    <w:rsid w:val="00E3007E"/>
    <w:rsid w:val="00E3029E"/>
    <w:rsid w:val="00E32A7E"/>
    <w:rsid w:val="00E32E39"/>
    <w:rsid w:val="00E3462B"/>
    <w:rsid w:val="00E365BF"/>
    <w:rsid w:val="00E40D34"/>
    <w:rsid w:val="00E425E7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1552"/>
    <w:rsid w:val="00EA05DC"/>
    <w:rsid w:val="00EA308A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07E4"/>
    <w:rsid w:val="00F1126D"/>
    <w:rsid w:val="00F128D6"/>
    <w:rsid w:val="00F13942"/>
    <w:rsid w:val="00F141C3"/>
    <w:rsid w:val="00F1426D"/>
    <w:rsid w:val="00F16CEE"/>
    <w:rsid w:val="00F172F2"/>
    <w:rsid w:val="00F22EE6"/>
    <w:rsid w:val="00F238E5"/>
    <w:rsid w:val="00F26D37"/>
    <w:rsid w:val="00F27EE3"/>
    <w:rsid w:val="00F305BC"/>
    <w:rsid w:val="00F31E98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49DA"/>
    <w:rsid w:val="00F957E5"/>
    <w:rsid w:val="00F9643E"/>
    <w:rsid w:val="00F965A1"/>
    <w:rsid w:val="00F96A59"/>
    <w:rsid w:val="00F96E08"/>
    <w:rsid w:val="00F97A8B"/>
    <w:rsid w:val="00F97C49"/>
    <w:rsid w:val="00FA016C"/>
    <w:rsid w:val="00FA379D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Strong"/>
    <w:basedOn w:val="a0"/>
    <w:uiPriority w:val="22"/>
    <w:qFormat/>
    <w:rsid w:val="00734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09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0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6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0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1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91BC-68E2-4883-B579-1CEB9460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Предусмотренное проектом правовое регулирование иными правовыми, информ</vt:lpstr>
    </vt:vector>
  </TitlesOfParts>
  <Company>ДИО КК</Company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1566</cp:revision>
  <cp:lastPrinted>2019-06-20T06:03:00Z</cp:lastPrinted>
  <dcterms:created xsi:type="dcterms:W3CDTF">2015-04-10T06:47:00Z</dcterms:created>
  <dcterms:modified xsi:type="dcterms:W3CDTF">2022-06-10T06:18:00Z</dcterms:modified>
</cp:coreProperties>
</file>