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«Об утверждении оценочной стоимости посадки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посадочного материала и годового ухода в отношении одной единицы вида зеленых насаждений на территории Тимашевского городского поселения Тимашевского района на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202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год»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далее – проект постановления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Прижатый влево"/>
        <w:ind w:firstLine="569"/>
        <w:jc w:val="both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постановления 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подготовлен отделом экономики и прогнозирования администрации Тимашевского городского поселения Тимашевского района в целях реализации Закона Краснодарского края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апреля </w:t>
      </w:r>
      <w:r>
        <w:rPr>
          <w:rFonts w:ascii="Times New Roman" w:hAnsi="Times New Roman"/>
          <w:sz w:val="28"/>
          <w:szCs w:val="28"/>
          <w:rtl w:val="0"/>
          <w:lang w:val="ru-RU"/>
        </w:rPr>
        <w:t>2013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 года № </w:t>
      </w:r>
      <w:r>
        <w:rPr>
          <w:rFonts w:ascii="Times New Roman" w:hAnsi="Times New Roman"/>
          <w:sz w:val="28"/>
          <w:szCs w:val="28"/>
          <w:rtl w:val="0"/>
          <w:lang w:val="ru-RU"/>
        </w:rPr>
        <w:t>2695-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КЗ «Об охране зеленых насаждений в Краснодарском крае»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8"/>
          <w:szCs w:val="28"/>
        </w:rPr>
      </w:pP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Согласно пункту 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14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Порядка исчисления платы за проведение компенсационного озеленения при уничтожении зеленых насаждений на территории поселений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городских округов Краснодарского края 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приложение к  Закону Краснодарского края от 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23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апреля 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2013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 года № 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2695-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КЗ «Об охране зеленых насаждений в Краснодарском крае»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оценочная стоимость посадки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посадочного материала и годового ухода в отношении одной единицы вида зеленых насаждений </w:t>
      </w:r>
      <w:bookmarkStart w:name="sub_101" w:id="1"/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устанавливается органами местного самоуправления муниципальных образований Краснодарского края с учетом уровня инфляции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установленного федеральным законом о федеральном бюджете на очередной финансовый год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bookmarkEnd w:id="1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Федеральным законом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06.12.2021 N 390-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 федеральном бюджете на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год и на плановый период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годов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уровень инфляции на </w:t>
      </w:r>
      <w:r>
        <w:rPr>
          <w:rFonts w:ascii="Times New Roman" w:hAnsi="Times New Roman"/>
          <w:sz w:val="28"/>
          <w:szCs w:val="28"/>
          <w:rtl w:val="0"/>
          <w:lang w:val="ru-RU"/>
        </w:rPr>
        <w:t>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год установлен в размере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не превышающем </w:t>
      </w:r>
      <w:r>
        <w:rPr>
          <w:rFonts w:ascii="Times New Roman" w:hAnsi="Times New Roman"/>
          <w:sz w:val="28"/>
          <w:szCs w:val="28"/>
          <w:rtl w:val="0"/>
          <w:lang w:val="ru-RU"/>
        </w:rPr>
        <w:t>4,0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процента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   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         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  <w:r>
        <w:rPr>
          <w:rFonts w:ascii="Times New Roman" w:hAnsi="Times New Roman"/>
          <w:sz w:val="28"/>
          <w:szCs w:val="28"/>
          <w:rtl w:val="0"/>
          <w:lang w:val="ru-RU"/>
        </w:rPr>
        <w:t>.12.202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1134" w:right="567" w:bottom="1134" w:left="1701" w:header="720" w:footer="720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ий колонтитул"/>
      <w:jc w:val="center"/>
    </w:pPr>
    <w:r>
      <w:rPr>
        <w:rFonts w:ascii="Times New Roman" w:hAnsi="Times New Roman"/>
        <w:rtl w:val="0"/>
        <w:lang w:val="ru-RU"/>
      </w:rPr>
      <w:t>2</w:t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ий колонтитул">
    <w:name w:val="Верхний колонтитул"/>
    <w:next w:val="Верхний колонтитул"/>
    <w:pPr>
      <w:keepNext w:val="0"/>
      <w:keepLines w:val="0"/>
      <w:pageBreakBefore w:val="0"/>
      <w:widowControl w:val="0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рижатый влево">
    <w:name w:val="Прижатый влево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 Unicode MS" w:hAnsi="Arial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