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495" w:hRule="atLeast"/>
        </w:trPr>
        <w:tc>
          <w:tcPr>
            <w:tcW w:type="dxa" w:w="962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предоставляемых согласно гарантированному перечню услуг по погребению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оказываемых на территории Тимашевского городского поселения Тимашевского района»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В соответствии с пунктом </w:t>
      </w:r>
      <w:r>
        <w:rPr>
          <w:rFonts w:ascii="Times New Roman" w:hAnsi="Times New Roman"/>
          <w:sz w:val="26"/>
          <w:szCs w:val="26"/>
          <w:rtl w:val="0"/>
        </w:rPr>
        <w:t xml:space="preserve">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sz w:val="26"/>
          <w:szCs w:val="26"/>
          <w:rtl w:val="0"/>
        </w:rPr>
        <w:t xml:space="preserve">9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12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января </w:t>
      </w:r>
      <w:r>
        <w:rPr>
          <w:rFonts w:ascii="Times New Roman" w:hAnsi="Times New Roman"/>
          <w:sz w:val="26"/>
          <w:szCs w:val="26"/>
          <w:rtl w:val="0"/>
        </w:rPr>
        <w:t xml:space="preserve">1996 </w:t>
      </w:r>
      <w:r>
        <w:rPr>
          <w:rFonts w:ascii="Times New Roman" w:hAnsi="Times New Roman" w:hint="default"/>
          <w:sz w:val="26"/>
          <w:szCs w:val="26"/>
          <w:rtl w:val="0"/>
        </w:rPr>
        <w:t>года  №</w:t>
      </w:r>
      <w:r>
        <w:rPr>
          <w:rFonts w:ascii="Times New Roman" w:hAnsi="Times New Roman"/>
          <w:sz w:val="26"/>
          <w:szCs w:val="26"/>
          <w:rtl w:val="0"/>
        </w:rPr>
        <w:t>8-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 погребении и похоронном деле» стоимость услуг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предоставляемых согласно гарантированному перечню услуг по погребению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определяется органами местного самоуправления по согласованию с соответствующими отделениями Пенсионного фонда Российской Федерации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Фонда социального страхования Российской Федерации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 также с органами государственной власти субъектов Российской Федерации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          Проектом решения предлагается утвердить стоимость услуг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предоставляемых согласно гарантированному перечню услуг по погребению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оказываемых на территории 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13.02.2020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