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6"/>
          <w:szCs w:val="26"/>
          <w:rtl w:val="0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195" w:hRule="atLeast"/>
        </w:trPr>
        <w:tc>
          <w:tcPr>
            <w:tcW w:type="dxa" w:w="962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О создании административной комиссии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it-IT"/>
              </w:rPr>
              <w:t xml:space="preserve">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(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)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</w:pPr>
      <w:r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ab/>
        <w:t xml:space="preserve">В соответствии со статьей 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 xml:space="preserve">8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Закон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а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 xml:space="preserve"> Краснодарского края от 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14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декабря 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2006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г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. N 1144-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КЗ 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"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О наделении органов местного самоуправления муниципальных образований Краснодарского края отдельными государственными полномочиями по образованию и организации деятельности административных комиссий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"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 xml:space="preserve"> а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дминистративная комиссия создается представительным органом муниципального образования по представлению главы муниципального образования в составе председателя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заместителя председателя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ответственного секретаря и иных членов административной комиссии на срок полномочий представительного органа муниципального образования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.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</w:pPr>
      <w:r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ab/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теле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   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18.01.2021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                 </w:t>
      </w:r>
      <w:r>
        <w:rPr>
          <w:rFonts w:ascii="Times New Roman" w:cs="Times New Roman" w:hAnsi="Times New Roman" w:eastAsia="Times New Roman"/>
          <w:sz w:val="26"/>
          <w:szCs w:val="26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