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Title"/>
              <w:widowControl w:val="1"/>
              <w:ind w:firstLine="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 внесении изменений в решение Совета Тимашевского городского поселения Тимашевского района от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19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октября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2016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220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«Об установлении налога на имущество физических лиц на территории Тимашевского городского поселения Тимашевского района»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рижатый влево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решения Совета Тимашевского городского поселения Тимашевского района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 внесении изменений в решение Совета Тимашевского городского поселения Тимашевского района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«Об установлении налога на имущество физических лиц на территории Тимашевского городского поселения Тимашевского района» внесен 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главой Тимашевского городского поселения Тимашевского района и подготовлен отделом экономики и прогнозирования администрации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Обычный"/>
        <w:ind w:firstLine="0"/>
        <w:jc w:val="right"/>
      </w:pPr>
      <w:r>
        <w:rPr>
          <w:rFonts w:ascii="Times New Roman" w:hAnsi="Times New Roman"/>
          <w:sz w:val="28"/>
          <w:szCs w:val="28"/>
          <w:rtl w:val="0"/>
          <w:lang w:val="ru-RU"/>
        </w:rPr>
        <w:t>14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rtl w:val="0"/>
          <w:lang w:val="ru-RU"/>
        </w:rPr>
        <w:t>.20</w:t>
      </w:r>
      <w:r>
        <w:rPr>
          <w:rFonts w:ascii="Times New Roman" w:hAnsi="Times New Roman"/>
          <w:sz w:val="28"/>
          <w:szCs w:val="28"/>
          <w:rtl w:val="0"/>
          <w:lang w:val="ru-RU"/>
        </w:rPr>
        <w:t>24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рижатый влево">
    <w:name w:val="Прижатый влево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