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nsPlusNonformat"/>
        <w:jc w:val="center"/>
        <w:outlineLvl w:val="0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ЗАКЛЮЧЕНИЕ</w:t>
      </w:r>
    </w:p>
    <w:p>
      <w:pPr>
        <w:pStyle w:val="ConsPlusNonformat"/>
        <w:jc w:val="center"/>
        <w:outlineLvl w:val="0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tbl>
      <w:tblPr>
        <w:tblW w:w="9854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854"/>
      </w:tblGrid>
      <w:tr>
        <w:tblPrEx>
          <w:shd w:val="clear" w:color="auto" w:fill="ced7e7"/>
        </w:tblPrEx>
        <w:trPr>
          <w:trHeight w:val="2228" w:hRule="atLeast"/>
        </w:trPr>
        <w:tc>
          <w:tcPr>
            <w:tcW w:type="dxa" w:w="98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firstLine="0"/>
            </w:pP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по результатам проведения антикоррупционной экспертизы проекта  нормативного правового акта – решения Совета Тимашевского городского поселения Тимашевского 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муниципального 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>района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 Краснодарского края 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«О внесении изменений в решение Совета Тимашевского городского поселения Тимашевского района от 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11 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декабря 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>20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>25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 г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№ 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>69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 «О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 бюджете 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>Тимашевского городского поселения Тимашевского района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 на 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2026 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>год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» </w:t>
            </w:r>
            <w:r>
              <w:rPr>
                <w:rFonts w:ascii="Times New Roman" w:cs="Times New Roman" w:hAnsi="Times New Roman" w:eastAsia="Times New Roman"/>
                <w:sz w:val="28"/>
                <w:szCs w:val="28"/>
                <w:shd w:val="nil" w:color="auto" w:fill="auto"/>
              </w:rPr>
            </w:r>
          </w:p>
        </w:tc>
      </w:tr>
    </w:tbl>
    <w:p>
      <w:pPr>
        <w:pStyle w:val="ConsPlusNonformat"/>
        <w:ind w:firstLine="0"/>
        <w:jc w:val="center"/>
        <w:outlineLvl w:val="0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Normal.0"/>
        <w:ind w:firstLine="708"/>
        <w:rPr>
          <w:sz w:val="24"/>
          <w:szCs w:val="24"/>
        </w:rPr>
      </w:pPr>
      <w:bookmarkStart w:name="sub_1101" w:id="0"/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Проект решения Совета Тимашевского городского поселения Тимашевского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муниципального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района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Краснодарского края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«О внесении изменений в решение Совета Тимашевского городского поселения Тимашевского района от </w:t>
      </w:r>
      <w:r>
        <w:rPr>
          <w:rFonts w:ascii="Times New Roman" w:hAnsi="Times New Roman"/>
          <w:sz w:val="28"/>
          <w:szCs w:val="28"/>
          <w:rtl w:val="0"/>
          <w:lang w:val="ru-RU"/>
        </w:rPr>
        <w:t>11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декабря </w:t>
      </w:r>
      <w:r>
        <w:rPr>
          <w:rFonts w:ascii="Times New Roman" w:hAnsi="Times New Roman"/>
          <w:sz w:val="28"/>
          <w:szCs w:val="28"/>
          <w:rtl w:val="0"/>
          <w:lang w:val="ru-RU"/>
        </w:rPr>
        <w:t>20</w:t>
      </w:r>
      <w:r>
        <w:rPr>
          <w:rFonts w:ascii="Times New Roman" w:hAnsi="Times New Roman"/>
          <w:sz w:val="28"/>
          <w:szCs w:val="28"/>
          <w:rtl w:val="0"/>
          <w:lang w:val="ru-RU"/>
        </w:rPr>
        <w:t>25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№ </w:t>
      </w:r>
      <w:r>
        <w:rPr>
          <w:rFonts w:ascii="Times New Roman" w:hAnsi="Times New Roman"/>
          <w:sz w:val="28"/>
          <w:szCs w:val="28"/>
          <w:rtl w:val="0"/>
          <w:lang w:val="ru-RU"/>
        </w:rPr>
        <w:t>69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«О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бюджете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Тимашевского городского поселения Тимашевского района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2026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» внесен главой Тимашевского городского поселения Тимашевского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муниципального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район</w:t>
      </w:r>
      <w:bookmarkEnd w:id="0"/>
      <w:r>
        <w:rPr>
          <w:rFonts w:ascii="Times New Roman" w:hAnsi="Times New Roman" w:hint="default"/>
          <w:sz w:val="28"/>
          <w:szCs w:val="28"/>
          <w:rtl w:val="0"/>
          <w:lang w:val="ru-RU"/>
        </w:rPr>
        <w:t>а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Краснодарского края</w:t>
      </w:r>
      <w:bookmarkStart w:name="sub_222" w:id="1"/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bookmarkEnd w:id="1"/>
    </w:p>
    <w:p>
      <w:pPr>
        <w:pStyle w:val="Normal.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Проект решения был размещен на официальном сайте Тимашевского городского поселения Тимашевского района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Краснодарского края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информационно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телекоммуникационной сети «Интернет» для проведения независимой экспертизы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установленный срок от независимых экспертов заключения не поступали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ind w:firstLine="567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В ходе антикоррупционной экспертизы коррупциогенные факторы в проекте муниципального нормативного правового акта не обнаружены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положения проекта решения соответствуют требованиям законодательства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не содержат внутренних противоречий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оформление представленного проекта соответствует правилам юридической техники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line="240" w:lineRule="auto"/>
        <w:ind w:left="0" w:right="0" w:firstLine="720"/>
        <w:jc w:val="both"/>
        <w:rPr>
          <w:sz w:val="28"/>
          <w:szCs w:val="28"/>
          <w:rtl w:val="0"/>
        </w:rPr>
      </w:pPr>
      <w:r>
        <w:rPr>
          <w:sz w:val="28"/>
          <w:szCs w:val="28"/>
          <w:rtl w:val="0"/>
          <w:lang w:val="ru-RU"/>
        </w:rPr>
        <w:t>Порядок вступления в силу решения соответствует стать</w:t>
      </w:r>
      <w:r>
        <w:rPr>
          <w:sz w:val="28"/>
          <w:szCs w:val="28"/>
          <w:rtl w:val="0"/>
          <w:lang w:val="ru-RU"/>
        </w:rPr>
        <w:t>ям</w:t>
      </w:r>
      <w:r>
        <w:rPr>
          <w:sz w:val="28"/>
          <w:szCs w:val="28"/>
          <w:rtl w:val="0"/>
        </w:rPr>
        <w:t xml:space="preserve"> </w:t>
      </w:r>
      <w:r>
        <w:rPr>
          <w:sz w:val="28"/>
          <w:szCs w:val="28"/>
          <w:rtl w:val="0"/>
          <w:lang w:val="ru-RU"/>
        </w:rPr>
        <w:t>52, 53</w:t>
      </w:r>
      <w:r>
        <w:rPr>
          <w:sz w:val="28"/>
          <w:szCs w:val="28"/>
          <w:rtl w:val="0"/>
          <w:lang w:val="ru-RU"/>
        </w:rPr>
        <w:t xml:space="preserve"> Федерального закона от </w:t>
      </w:r>
      <w:r>
        <w:rPr>
          <w:sz w:val="28"/>
          <w:szCs w:val="28"/>
          <w:rtl w:val="0"/>
        </w:rPr>
        <w:t>20.03.2025 N 33-</w:t>
      </w:r>
      <w:r>
        <w:rPr>
          <w:sz w:val="28"/>
          <w:szCs w:val="28"/>
          <w:rtl w:val="0"/>
        </w:rPr>
        <w:t>ФЗ</w:t>
      </w:r>
      <w:r>
        <w:rPr>
          <w:sz w:val="28"/>
          <w:szCs w:val="28"/>
          <w:rtl w:val="0"/>
          <w:lang w:val="ru-RU"/>
        </w:rPr>
        <w:t xml:space="preserve"> </w:t>
      </w:r>
      <w:r>
        <w:rPr>
          <w:sz w:val="28"/>
          <w:szCs w:val="28"/>
          <w:rtl w:val="0"/>
          <w:lang w:val="ru-RU"/>
        </w:rPr>
        <w:t>"</w:t>
      </w:r>
      <w:r>
        <w:rPr>
          <w:sz w:val="28"/>
          <w:szCs w:val="28"/>
          <w:rtl w:val="0"/>
          <w:lang w:val="ru-RU"/>
        </w:rPr>
        <w:t>Об общих принципах организации местного самоуправления в единой системе публичной власти</w:t>
      </w:r>
      <w:r>
        <w:rPr>
          <w:sz w:val="28"/>
          <w:szCs w:val="28"/>
          <w:rtl w:val="0"/>
          <w:lang w:val="ru-RU"/>
        </w:rPr>
        <w:t>"</w:t>
      </w:r>
      <w:r>
        <w:rPr>
          <w:sz w:val="28"/>
          <w:szCs w:val="28"/>
          <w:rtl w:val="0"/>
          <w:lang w:val="ru-RU"/>
        </w:rPr>
        <w:t>.</w:t>
      </w:r>
    </w:p>
    <w:p>
      <w:pPr>
        <w:pStyle w:val="Normal.0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ind w:firstLine="0"/>
        <w:outlineLvl w:val="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Начальник юридического отдела</w:t>
      </w:r>
    </w:p>
    <w:p>
      <w:pPr>
        <w:pStyle w:val="Normal.0"/>
        <w:ind w:firstLine="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администрации Тимашевского</w:t>
      </w:r>
    </w:p>
    <w:p>
      <w:pPr>
        <w:pStyle w:val="Normal.0"/>
        <w:ind w:firstLine="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городского поселения Тимашевского района                                  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Ю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Ю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Кроква</w:t>
      </w:r>
    </w:p>
    <w:p>
      <w:pPr>
        <w:pStyle w:val="Normal.0"/>
        <w:ind w:firstLine="0"/>
        <w:jc w:val="righ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>21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/>
          <w:sz w:val="28"/>
          <w:szCs w:val="28"/>
          <w:rtl w:val="0"/>
          <w:lang w:val="ru-RU"/>
        </w:rPr>
        <w:t>10</w:t>
      </w:r>
      <w:r>
        <w:rPr>
          <w:rFonts w:ascii="Times New Roman" w:hAnsi="Times New Roman"/>
          <w:sz w:val="28"/>
          <w:szCs w:val="28"/>
          <w:rtl w:val="0"/>
          <w:lang w:val="ru-RU"/>
        </w:rPr>
        <w:t>.202</w:t>
      </w:r>
      <w:r>
        <w:rPr>
          <w:rFonts w:ascii="Times New Roman" w:hAnsi="Times New Roman"/>
          <w:sz w:val="28"/>
          <w:szCs w:val="28"/>
          <w:rtl w:val="0"/>
          <w:lang w:val="ru-RU"/>
        </w:rPr>
        <w:t>6</w:t>
      </w:r>
    </w:p>
    <w:p>
      <w:pPr>
        <w:pStyle w:val="Normal.0"/>
        <w:ind w:firstLine="0"/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          </w:t>
        <w:tab/>
        <w:t xml:space="preserve"> </w:t>
      </w:r>
    </w:p>
    <w:p>
      <w:pPr>
        <w:pStyle w:val="Normal.0"/>
        <w:ind w:firstLine="0"/>
      </w:pPr>
      <w:r>
        <w:rPr>
          <w:rFonts w:ascii="Times New Roman" w:cs="Times New Roman" w:hAnsi="Times New Roman" w:eastAsia="Times New Roman"/>
          <w:sz w:val="28"/>
          <w:szCs w:val="28"/>
        </w:rPr>
      </w:r>
    </w:p>
    <w:sectPr>
      <w:headerReference w:type="default" r:id="rId4"/>
      <w:footerReference w:type="default" r:id="rId5"/>
      <w:pgSz w:w="11900" w:h="16840" w:orient="portrait"/>
      <w:pgMar w:top="1134" w:right="567" w:bottom="1134" w:left="1701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ourier New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Верхн./нижн. кол.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Верхн./нижн. кол.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Верхн./нижн. кол.">
    <w:name w:val="Верхн./нижн. кол."/>
    <w:next w:val="Верхн./нижн. кол.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nsPlusNonformat">
    <w:name w:val="ConsPlusNonformat"/>
    <w:next w:val="ConsPlusNonforma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720"/>
      <w:jc w:val="both"/>
      <w:outlineLvl w:val="9"/>
    </w:pPr>
    <w:rPr>
      <w:rFonts w:ascii="Courier New" w:cs="Arial Unicode MS" w:hAnsi="Courier New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720"/>
      <w:jc w:val="both"/>
      <w:outlineLvl w:val="9"/>
    </w:pPr>
    <w:rPr>
      <w:rFonts w:ascii="Arial" w:cs="Arial Unicode MS" w:hAnsi="Arial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