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ConsPlusNonformat"/>
        <w:jc w:val="center"/>
        <w:outlineLvl w:val="0"/>
        <w:rPr>
          <w:rFonts w:ascii="Times New Roman" w:cs="Times New Roman" w:hAnsi="Times New Roman" w:eastAsia="Times New Roman"/>
          <w:b w:val="1"/>
          <w:bCs w:val="1"/>
          <w:sz w:val="28"/>
          <w:szCs w:val="28"/>
        </w:rPr>
      </w:pPr>
      <w:r>
        <w:rPr>
          <w:rFonts w:ascii="Times New Roman" w:hAnsi="Times New Roman" w:hint="default"/>
          <w:b w:val="1"/>
          <w:bCs w:val="1"/>
          <w:sz w:val="28"/>
          <w:szCs w:val="28"/>
          <w:rtl w:val="0"/>
          <w:lang w:val="ru-RU"/>
        </w:rPr>
        <w:t>ЗАКЛЮЧЕНИЕ</w:t>
      </w:r>
    </w:p>
    <w:p>
      <w:pPr>
        <w:pStyle w:val="ConsPlusNonformat"/>
        <w:jc w:val="center"/>
        <w:outlineLvl w:val="0"/>
        <w:rPr>
          <w:rFonts w:ascii="Times New Roman" w:cs="Times New Roman" w:hAnsi="Times New Roman" w:eastAsia="Times New Roman"/>
          <w:b w:val="1"/>
          <w:bCs w:val="1"/>
          <w:sz w:val="28"/>
          <w:szCs w:val="28"/>
        </w:rPr>
      </w:pPr>
    </w:p>
    <w:tbl>
      <w:tblPr>
        <w:tblW w:w="9854" w:type="dxa"/>
        <w:jc w:val="center"/>
        <w:tblInd w:w="10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ed7e7"/>
        <w:tblLayout w:type="fixed"/>
      </w:tblPr>
      <w:tblGrid>
        <w:gridCol w:w="9854"/>
      </w:tblGrid>
      <w:tr>
        <w:tblPrEx>
          <w:shd w:val="clear" w:color="auto" w:fill="ced7e7"/>
        </w:tblPrEx>
        <w:trPr>
          <w:trHeight w:val="2868" w:hRule="atLeast"/>
        </w:trPr>
        <w:tc>
          <w:tcPr>
            <w:tcW w:type="dxa" w:w="985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Обычный"/>
              <w:ind w:firstLine="0"/>
            </w:pP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rtl w:val="0"/>
                <w:lang w:val="ru-RU"/>
              </w:rPr>
              <w:t xml:space="preserve">по результатам проведения антикоррупционной экспертизы проекта  муниципального нормативного правового акта –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rtl w:val="0"/>
                <w:lang w:val="ru-RU"/>
              </w:rPr>
              <w:t>решения</w:t>
            </w: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rtl w:val="0"/>
                <w:lang w:val="ru-RU"/>
              </w:rPr>
              <w:t xml:space="preserve">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rtl w:val="0"/>
                <w:lang w:val="ru-RU"/>
              </w:rPr>
              <w:t>Совета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rtl w:val="0"/>
                <w:lang w:val="ru-RU"/>
              </w:rPr>
              <w:t xml:space="preserve"> Тимашевского городского поселения Тимашевского района «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rtl w:val="0"/>
                <w:lang w:val="ru-RU"/>
              </w:rPr>
              <w:t>О внесении изменений в решение Совета Тимашевского</w:t>
            </w: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rtl w:val="0"/>
                <w:lang w:val="ru-RU"/>
              </w:rPr>
              <w:t xml:space="preserve">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rtl w:val="0"/>
              </w:rPr>
              <w:t>городского</w:t>
            </w: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rtl w:val="0"/>
                <w:lang w:val="ru-RU"/>
              </w:rPr>
              <w:t xml:space="preserve">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rtl w:val="0"/>
              </w:rPr>
              <w:t xml:space="preserve">поселения Тимашевского района от </w:t>
            </w: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rtl w:val="0"/>
              </w:rPr>
              <w:t xml:space="preserve">19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rtl w:val="0"/>
              </w:rPr>
              <w:t xml:space="preserve">ноября </w:t>
            </w: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rtl w:val="0"/>
              </w:rPr>
              <w:t xml:space="preserve">2014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rtl w:val="0"/>
              </w:rPr>
              <w:t xml:space="preserve">года № </w:t>
            </w: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rtl w:val="0"/>
              </w:rPr>
              <w:t>12</w:t>
            </w: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rtl w:val="0"/>
                <w:lang w:val="ru-RU"/>
              </w:rPr>
              <w:t xml:space="preserve">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rtl w:val="0"/>
                <w:lang w:val="ru-RU"/>
              </w:rPr>
              <w:t>«Об утверждении Положения о порядке проведения конкурса на</w:t>
            </w: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rtl w:val="0"/>
                <w:lang w:val="ru-RU"/>
              </w:rPr>
              <w:t xml:space="preserve">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rtl w:val="0"/>
                <w:lang w:val="ru-RU"/>
              </w:rPr>
              <w:t>замещение должности муниципальной службы в Тимашевском</w:t>
            </w: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rtl w:val="0"/>
                <w:lang w:val="ru-RU"/>
              </w:rPr>
              <w:t xml:space="preserve">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rtl w:val="0"/>
                <w:lang w:val="ru-RU"/>
              </w:rPr>
              <w:t>городском поселении Тимашевского района и порядке</w:t>
            </w: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rtl w:val="0"/>
                <w:lang w:val="ru-RU"/>
              </w:rPr>
              <w:t xml:space="preserve">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rtl w:val="0"/>
                <w:lang w:val="ru-RU"/>
              </w:rPr>
              <w:t>формирования конкурсной комиссии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rtl w:val="0"/>
                <w:lang w:val="it-IT"/>
              </w:rPr>
              <w:t>»</w:t>
            </w:r>
            <w:r>
              <w:rPr>
                <w:rFonts w:ascii="Times New Roman" w:cs="Times New Roman" w:hAnsi="Times New Roman" w:eastAsia="Times New Roman"/>
                <w:b w:val="1"/>
                <w:bCs w:val="1"/>
                <w:sz w:val="28"/>
                <w:szCs w:val="28"/>
              </w:rPr>
            </w:r>
          </w:p>
        </w:tc>
      </w:tr>
    </w:tbl>
    <w:p>
      <w:pPr>
        <w:pStyle w:val="ConsPlusNonformat"/>
        <w:ind w:firstLine="0"/>
        <w:jc w:val="center"/>
        <w:outlineLvl w:val="0"/>
        <w:rPr>
          <w:rFonts w:ascii="Times New Roman" w:cs="Times New Roman" w:hAnsi="Times New Roman" w:eastAsia="Times New Roman"/>
          <w:b w:val="1"/>
          <w:bCs w:val="1"/>
          <w:sz w:val="28"/>
          <w:szCs w:val="28"/>
        </w:rPr>
      </w:pPr>
    </w:p>
    <w:p>
      <w:pPr>
        <w:pStyle w:val="ConsPlusTitle"/>
        <w:widowControl w:val="1"/>
        <w:ind w:firstLine="708"/>
        <w:rPr>
          <w:b w:val="0"/>
          <w:bCs w:val="0"/>
          <w:sz w:val="28"/>
          <w:szCs w:val="28"/>
        </w:rPr>
      </w:pPr>
      <w:bookmarkStart w:name="sub_1101" w:id="0"/>
      <w:r>
        <w:rPr>
          <w:b w:val="0"/>
          <w:bCs w:val="0"/>
          <w:sz w:val="28"/>
          <w:szCs w:val="28"/>
          <w:rtl w:val="0"/>
          <w:lang w:val="ru-RU"/>
        </w:rPr>
        <w:t xml:space="preserve">Проект </w:t>
      </w:r>
      <w:r>
        <w:rPr>
          <w:b w:val="0"/>
          <w:bCs w:val="0"/>
          <w:sz w:val="28"/>
          <w:szCs w:val="28"/>
          <w:rtl w:val="0"/>
          <w:lang w:val="ru-RU"/>
        </w:rPr>
        <w:t>решения</w:t>
      </w:r>
      <w:r>
        <w:rPr>
          <w:b w:val="0"/>
          <w:bCs w:val="0"/>
          <w:sz w:val="28"/>
          <w:szCs w:val="28"/>
          <w:rtl w:val="0"/>
          <w:lang w:val="ru-RU"/>
        </w:rPr>
        <w:t xml:space="preserve"> </w:t>
      </w:r>
      <w:r>
        <w:rPr>
          <w:b w:val="0"/>
          <w:bCs w:val="0"/>
          <w:sz w:val="28"/>
          <w:szCs w:val="28"/>
          <w:rtl w:val="0"/>
          <w:lang w:val="ru-RU"/>
        </w:rPr>
        <w:t xml:space="preserve">подготовлен общим отделом администрации </w:t>
      </w:r>
      <w:r>
        <w:rPr>
          <w:b w:val="0"/>
          <w:bCs w:val="0"/>
          <w:sz w:val="28"/>
          <w:szCs w:val="28"/>
          <w:rtl w:val="0"/>
          <w:lang w:val="ru-RU"/>
        </w:rPr>
        <w:t>Тимашевского городского поселения Тимашевского района</w:t>
      </w:r>
      <w:r>
        <w:rPr>
          <w:b w:val="0"/>
          <w:bCs w:val="0"/>
          <w:sz w:val="28"/>
          <w:szCs w:val="28"/>
          <w:rtl w:val="0"/>
          <w:lang w:val="ru-RU"/>
        </w:rPr>
        <w:t xml:space="preserve"> в целях приведения в соответствие с изменениями</w:t>
      </w:r>
      <w:r>
        <w:rPr>
          <w:b w:val="0"/>
          <w:bCs w:val="0"/>
          <w:sz w:val="28"/>
          <w:szCs w:val="28"/>
          <w:rtl w:val="0"/>
          <w:lang w:val="ru-RU"/>
        </w:rPr>
        <w:t xml:space="preserve">, </w:t>
      </w:r>
      <w:r>
        <w:rPr>
          <w:b w:val="0"/>
          <w:bCs w:val="0"/>
          <w:sz w:val="28"/>
          <w:szCs w:val="28"/>
          <w:rtl w:val="0"/>
          <w:lang w:val="ru-RU"/>
        </w:rPr>
        <w:t xml:space="preserve">внесёнными </w:t>
      </w:r>
      <w:r>
        <w:rPr>
          <w:b w:val="0"/>
          <w:bCs w:val="0"/>
          <w:sz w:val="28"/>
          <w:szCs w:val="28"/>
          <w:rtl w:val="0"/>
          <w:lang w:val="ru-RU"/>
        </w:rPr>
        <w:t>Федеральны</w:t>
      </w:r>
      <w:r>
        <w:rPr>
          <w:b w:val="0"/>
          <w:bCs w:val="0"/>
          <w:sz w:val="28"/>
          <w:szCs w:val="28"/>
          <w:rtl w:val="0"/>
          <w:lang w:val="ru-RU"/>
        </w:rPr>
        <w:t>м</w:t>
      </w:r>
      <w:r>
        <w:rPr>
          <w:b w:val="0"/>
          <w:bCs w:val="0"/>
          <w:sz w:val="28"/>
          <w:szCs w:val="28"/>
          <w:rtl w:val="0"/>
          <w:lang w:val="ru-RU"/>
        </w:rPr>
        <w:t xml:space="preserve"> зако</w:t>
      </w:r>
      <w:r>
        <w:rPr>
          <w:b w:val="0"/>
          <w:bCs w:val="0"/>
          <w:sz w:val="28"/>
          <w:szCs w:val="28"/>
          <w:rtl w:val="0"/>
          <w:lang w:val="ru-RU"/>
        </w:rPr>
        <w:t>ном</w:t>
      </w:r>
      <w:r>
        <w:rPr>
          <w:b w:val="0"/>
          <w:bCs w:val="0"/>
          <w:sz w:val="28"/>
          <w:szCs w:val="28"/>
          <w:rtl w:val="0"/>
          <w:lang w:val="ru-RU"/>
        </w:rPr>
        <w:t xml:space="preserve"> от </w:t>
      </w:r>
      <w:r>
        <w:rPr>
          <w:b w:val="0"/>
          <w:bCs w:val="0"/>
          <w:sz w:val="28"/>
          <w:szCs w:val="28"/>
          <w:rtl w:val="0"/>
          <w:lang w:val="ru-RU"/>
        </w:rPr>
        <w:t xml:space="preserve">8 </w:t>
      </w:r>
      <w:r>
        <w:rPr>
          <w:b w:val="0"/>
          <w:bCs w:val="0"/>
          <w:sz w:val="28"/>
          <w:szCs w:val="28"/>
          <w:rtl w:val="0"/>
          <w:lang w:val="ru-RU"/>
        </w:rPr>
        <w:t xml:space="preserve">июня </w:t>
      </w:r>
      <w:r>
        <w:rPr>
          <w:b w:val="0"/>
          <w:bCs w:val="0"/>
          <w:sz w:val="28"/>
          <w:szCs w:val="28"/>
          <w:rtl w:val="0"/>
          <w:lang w:val="ru-RU"/>
        </w:rPr>
        <w:t xml:space="preserve">2020 </w:t>
      </w:r>
      <w:r>
        <w:rPr>
          <w:b w:val="0"/>
          <w:bCs w:val="0"/>
          <w:sz w:val="28"/>
          <w:szCs w:val="28"/>
          <w:rtl w:val="0"/>
          <w:lang w:val="ru-RU"/>
        </w:rPr>
        <w:t>г</w:t>
      </w:r>
      <w:r>
        <w:rPr>
          <w:b w:val="0"/>
          <w:bCs w:val="0"/>
          <w:sz w:val="28"/>
          <w:szCs w:val="28"/>
          <w:rtl w:val="0"/>
          <w:lang w:val="ru-RU"/>
        </w:rPr>
        <w:t>. N</w:t>
      </w:r>
      <w:r>
        <w:rPr>
          <w:b w:val="0"/>
          <w:bCs w:val="0"/>
          <w:sz w:val="28"/>
          <w:szCs w:val="28"/>
          <w:rtl w:val="0"/>
          <w:lang w:val="ru-RU"/>
        </w:rPr>
        <w:t> </w:t>
      </w:r>
      <w:r>
        <w:rPr>
          <w:b w:val="0"/>
          <w:bCs w:val="0"/>
          <w:sz w:val="28"/>
          <w:szCs w:val="28"/>
          <w:rtl w:val="0"/>
          <w:lang w:val="ru-RU"/>
        </w:rPr>
        <w:t>181-</w:t>
      </w:r>
      <w:r>
        <w:rPr>
          <w:b w:val="0"/>
          <w:bCs w:val="0"/>
          <w:sz w:val="28"/>
          <w:szCs w:val="28"/>
          <w:rtl w:val="0"/>
          <w:lang w:val="ru-RU"/>
        </w:rPr>
        <w:t xml:space="preserve">ФЗ </w:t>
      </w:r>
      <w:r>
        <w:rPr>
          <w:b w:val="0"/>
          <w:bCs w:val="0"/>
          <w:sz w:val="28"/>
          <w:szCs w:val="28"/>
          <w:rtl w:val="0"/>
          <w:lang w:val="ru-RU"/>
        </w:rPr>
        <w:t>"</w:t>
      </w:r>
      <w:r>
        <w:rPr>
          <w:b w:val="0"/>
          <w:bCs w:val="0"/>
          <w:sz w:val="28"/>
          <w:szCs w:val="28"/>
          <w:rtl w:val="0"/>
          <w:lang w:val="ru-RU"/>
        </w:rPr>
        <w:t xml:space="preserve">О внесении изменений в отдельные законодательные акты Российской Федерации в связи с принятием Федерального закона </w:t>
      </w:r>
      <w:r>
        <w:rPr>
          <w:b w:val="0"/>
          <w:bCs w:val="0"/>
          <w:sz w:val="28"/>
          <w:szCs w:val="28"/>
          <w:rtl w:val="0"/>
          <w:lang w:val="ru-RU"/>
        </w:rPr>
        <w:t>"</w:t>
      </w:r>
      <w:r>
        <w:rPr>
          <w:b w:val="0"/>
          <w:bCs w:val="0"/>
          <w:sz w:val="28"/>
          <w:szCs w:val="28"/>
          <w:rtl w:val="0"/>
          <w:lang w:val="ru-RU"/>
        </w:rPr>
        <w:t xml:space="preserve">О внесении изменений в Федеральный закон </w:t>
      </w:r>
      <w:r>
        <w:rPr>
          <w:b w:val="0"/>
          <w:bCs w:val="0"/>
          <w:sz w:val="28"/>
          <w:szCs w:val="28"/>
          <w:rtl w:val="0"/>
          <w:lang w:val="ru-RU"/>
        </w:rPr>
        <w:t>"</w:t>
      </w:r>
      <w:r>
        <w:rPr>
          <w:b w:val="0"/>
          <w:bCs w:val="0"/>
          <w:sz w:val="28"/>
          <w:szCs w:val="28"/>
          <w:rtl w:val="0"/>
          <w:lang w:val="ru-RU"/>
        </w:rPr>
        <w:t xml:space="preserve">Об индивидуальном </w:t>
      </w:r>
      <w:r>
        <w:rPr>
          <w:b w:val="0"/>
          <w:bCs w:val="0"/>
          <w:sz w:val="28"/>
          <w:szCs w:val="28"/>
          <w:rtl w:val="0"/>
          <w:lang w:val="ru-RU"/>
        </w:rPr>
        <w:t>(</w:t>
      </w:r>
      <w:r>
        <w:rPr>
          <w:b w:val="0"/>
          <w:bCs w:val="0"/>
          <w:sz w:val="28"/>
          <w:szCs w:val="28"/>
          <w:rtl w:val="0"/>
          <w:lang w:val="ru-RU"/>
        </w:rPr>
        <w:t>персонифицированном</w:t>
      </w:r>
      <w:r>
        <w:rPr>
          <w:b w:val="0"/>
          <w:bCs w:val="0"/>
          <w:sz w:val="28"/>
          <w:szCs w:val="28"/>
          <w:rtl w:val="0"/>
          <w:lang w:val="ru-RU"/>
        </w:rPr>
        <w:t xml:space="preserve">) </w:t>
      </w:r>
      <w:r>
        <w:rPr>
          <w:b w:val="0"/>
          <w:bCs w:val="0"/>
          <w:sz w:val="28"/>
          <w:szCs w:val="28"/>
          <w:rtl w:val="0"/>
          <w:lang w:val="ru-RU"/>
        </w:rPr>
        <w:t>учете в системе обязательного пенсионного страхования</w:t>
      </w:r>
      <w:r>
        <w:rPr>
          <w:b w:val="0"/>
          <w:bCs w:val="0"/>
          <w:sz w:val="28"/>
          <w:szCs w:val="28"/>
          <w:rtl w:val="0"/>
          <w:lang w:val="ru-RU"/>
        </w:rPr>
        <w:t xml:space="preserve">" </w:t>
      </w:r>
      <w:r>
        <w:rPr>
          <w:b w:val="0"/>
          <w:bCs w:val="0"/>
          <w:sz w:val="28"/>
          <w:szCs w:val="28"/>
          <w:rtl w:val="0"/>
          <w:lang w:val="ru-RU"/>
        </w:rPr>
        <w:t>и отдельные законодательные акты Российской Федерации</w:t>
      </w:r>
      <w:r>
        <w:rPr>
          <w:b w:val="0"/>
          <w:bCs w:val="0"/>
          <w:sz w:val="28"/>
          <w:szCs w:val="28"/>
          <w:rtl w:val="0"/>
          <w:lang w:val="ru-RU"/>
        </w:rPr>
        <w:t>"</w:t>
      </w:r>
      <w:r>
        <w:rPr>
          <w:b w:val="0"/>
          <w:bCs w:val="0"/>
          <w:sz w:val="28"/>
          <w:szCs w:val="28"/>
          <w:rtl w:val="0"/>
          <w:lang w:val="ru-RU"/>
        </w:rPr>
        <w:t xml:space="preserve"> в </w:t>
      </w:r>
      <w:r>
        <w:rPr>
          <w:b w:val="0"/>
          <w:bCs w:val="0"/>
          <w:sz w:val="28"/>
          <w:szCs w:val="28"/>
          <w:rtl w:val="0"/>
          <w:lang w:val="ru-RU"/>
        </w:rPr>
        <w:t>Федеральн</w:t>
      </w:r>
      <w:r>
        <w:rPr>
          <w:b w:val="0"/>
          <w:bCs w:val="0"/>
          <w:sz w:val="28"/>
          <w:szCs w:val="28"/>
          <w:rtl w:val="0"/>
          <w:lang w:val="ru-RU"/>
        </w:rPr>
        <w:t>ый</w:t>
      </w:r>
      <w:r>
        <w:rPr>
          <w:b w:val="0"/>
          <w:bCs w:val="0"/>
          <w:sz w:val="28"/>
          <w:szCs w:val="28"/>
          <w:rtl w:val="0"/>
          <w:lang w:val="ru-RU"/>
        </w:rPr>
        <w:t xml:space="preserve"> закон от </w:t>
      </w:r>
      <w:r>
        <w:rPr>
          <w:b w:val="0"/>
          <w:bCs w:val="0"/>
          <w:sz w:val="28"/>
          <w:szCs w:val="28"/>
          <w:rtl w:val="0"/>
          <w:lang w:val="ru-RU"/>
        </w:rPr>
        <w:t xml:space="preserve">2 </w:t>
      </w:r>
      <w:r>
        <w:rPr>
          <w:b w:val="0"/>
          <w:bCs w:val="0"/>
          <w:sz w:val="28"/>
          <w:szCs w:val="28"/>
          <w:rtl w:val="0"/>
          <w:lang w:val="ru-RU"/>
        </w:rPr>
        <w:t xml:space="preserve">марта </w:t>
      </w:r>
      <w:r>
        <w:rPr>
          <w:b w:val="0"/>
          <w:bCs w:val="0"/>
          <w:sz w:val="28"/>
          <w:szCs w:val="28"/>
          <w:rtl w:val="0"/>
          <w:lang w:val="ru-RU"/>
        </w:rPr>
        <w:t>2007</w:t>
      </w:r>
      <w:r>
        <w:rPr>
          <w:b w:val="0"/>
          <w:bCs w:val="0"/>
          <w:sz w:val="28"/>
          <w:szCs w:val="28"/>
          <w:rtl w:val="0"/>
          <w:lang w:val="ru-RU"/>
        </w:rPr>
        <w:t xml:space="preserve"> года </w:t>
      </w:r>
      <w:r>
        <w:rPr>
          <w:b w:val="0"/>
          <w:bCs w:val="0"/>
          <w:sz w:val="28"/>
          <w:szCs w:val="28"/>
          <w:rtl w:val="0"/>
          <w:lang w:val="ru-RU"/>
        </w:rPr>
        <w:t>N</w:t>
      </w:r>
      <w:r>
        <w:rPr>
          <w:b w:val="0"/>
          <w:bCs w:val="0"/>
          <w:sz w:val="28"/>
          <w:szCs w:val="28"/>
          <w:rtl w:val="0"/>
          <w:lang w:val="ru-RU"/>
        </w:rPr>
        <w:t> </w:t>
      </w:r>
      <w:r>
        <w:rPr>
          <w:b w:val="0"/>
          <w:bCs w:val="0"/>
          <w:sz w:val="28"/>
          <w:szCs w:val="28"/>
          <w:rtl w:val="0"/>
          <w:lang w:val="ru-RU"/>
        </w:rPr>
        <w:t>25-</w:t>
      </w:r>
      <w:r>
        <w:rPr>
          <w:b w:val="0"/>
          <w:bCs w:val="0"/>
          <w:sz w:val="28"/>
          <w:szCs w:val="28"/>
          <w:rtl w:val="0"/>
          <w:lang w:val="ru-RU"/>
        </w:rPr>
        <w:t xml:space="preserve">ФЗ </w:t>
      </w:r>
      <w:r>
        <w:rPr>
          <w:b w:val="0"/>
          <w:bCs w:val="0"/>
          <w:sz w:val="28"/>
          <w:szCs w:val="28"/>
          <w:rtl w:val="0"/>
          <w:lang w:val="ru-RU"/>
        </w:rPr>
        <w:t>"</w:t>
      </w:r>
      <w:r>
        <w:rPr>
          <w:b w:val="0"/>
          <w:bCs w:val="0"/>
          <w:sz w:val="28"/>
          <w:szCs w:val="28"/>
          <w:rtl w:val="0"/>
          <w:lang w:val="ru-RU"/>
        </w:rPr>
        <w:t>О муниципальной службе в Российской Федерации</w:t>
      </w:r>
      <w:r>
        <w:rPr>
          <w:b w:val="0"/>
          <w:bCs w:val="0"/>
          <w:sz w:val="28"/>
          <w:szCs w:val="28"/>
          <w:rtl w:val="0"/>
          <w:lang w:val="ru-RU"/>
        </w:rPr>
        <w:t xml:space="preserve">".  </w:t>
      </w:r>
    </w:p>
    <w:p>
      <w:pPr>
        <w:pStyle w:val="По умолчанию"/>
        <w:ind w:firstLine="540"/>
        <w:rPr>
          <w:sz w:val="36"/>
          <w:szCs w:val="36"/>
        </w:rPr>
      </w:pPr>
      <w:bookmarkEnd w:id="0"/>
      <w:r>
        <w:rPr>
          <w:sz w:val="28"/>
          <w:szCs w:val="28"/>
          <w:rtl w:val="0"/>
          <w:lang w:val="ru-RU"/>
        </w:rPr>
        <w:t xml:space="preserve">Проект </w:t>
      </w:r>
      <w:r>
        <w:rPr>
          <w:sz w:val="28"/>
          <w:szCs w:val="28"/>
          <w:rtl w:val="0"/>
          <w:lang w:val="ru-RU"/>
        </w:rPr>
        <w:t>решения</w:t>
      </w:r>
      <w:r>
        <w:rPr>
          <w:sz w:val="28"/>
          <w:szCs w:val="28"/>
          <w:rtl w:val="0"/>
          <w:lang w:val="ru-RU"/>
        </w:rPr>
        <w:t xml:space="preserve"> был размещен на официальном сайте администрации Тимашевского городского поселения Тимашевского района в информационно</w:t>
      </w:r>
      <w:r>
        <w:rPr>
          <w:sz w:val="28"/>
          <w:szCs w:val="28"/>
          <w:rtl w:val="0"/>
          <w:lang w:val="ru-RU"/>
        </w:rPr>
        <w:t>-</w:t>
      </w:r>
      <w:r>
        <w:rPr>
          <w:sz w:val="28"/>
          <w:szCs w:val="28"/>
          <w:rtl w:val="0"/>
          <w:lang w:val="ru-RU"/>
        </w:rPr>
        <w:t>телекоммуникационной сети «Интернет» для проведения независимой экспертизы</w:t>
      </w:r>
      <w:r>
        <w:rPr>
          <w:sz w:val="28"/>
          <w:szCs w:val="28"/>
          <w:rtl w:val="0"/>
          <w:lang w:val="ru-RU"/>
        </w:rPr>
        <w:t xml:space="preserve">. </w:t>
      </w:r>
      <w:r>
        <w:rPr>
          <w:sz w:val="28"/>
          <w:szCs w:val="28"/>
          <w:rtl w:val="0"/>
          <w:lang w:val="ru-RU"/>
        </w:rPr>
        <w:t>В установленный срок от независимых экспертов заключения не поступали</w:t>
      </w:r>
      <w:r>
        <w:rPr>
          <w:sz w:val="28"/>
          <w:szCs w:val="28"/>
          <w:rtl w:val="0"/>
          <w:lang w:val="ru-RU"/>
        </w:rPr>
        <w:t>.</w:t>
      </w:r>
    </w:p>
    <w:p>
      <w:pPr>
        <w:pStyle w:val="По умолчанию"/>
        <w:ind w:firstLine="560"/>
        <w:rPr>
          <w:sz w:val="36"/>
          <w:szCs w:val="36"/>
        </w:rPr>
      </w:pPr>
      <w:r>
        <w:rPr>
          <w:sz w:val="28"/>
          <w:szCs w:val="28"/>
          <w:rtl w:val="0"/>
          <w:lang w:val="ru-RU"/>
        </w:rPr>
        <w:t>В ходе антикоррупционной экспертизы коррупциогенные факторы в проекте муниципального нормативного правового акта не обнаружены</w:t>
      </w:r>
      <w:r>
        <w:rPr>
          <w:sz w:val="28"/>
          <w:szCs w:val="28"/>
          <w:rtl w:val="0"/>
          <w:lang w:val="ru-RU"/>
        </w:rPr>
        <w:t xml:space="preserve">, </w:t>
      </w:r>
      <w:r>
        <w:rPr>
          <w:sz w:val="28"/>
          <w:szCs w:val="28"/>
          <w:rtl w:val="0"/>
          <w:lang w:val="ru-RU"/>
        </w:rPr>
        <w:t xml:space="preserve">положения проекта </w:t>
      </w:r>
      <w:r>
        <w:rPr>
          <w:sz w:val="28"/>
          <w:szCs w:val="28"/>
          <w:rtl w:val="0"/>
          <w:lang w:val="ru-RU"/>
        </w:rPr>
        <w:t>решения</w:t>
      </w:r>
      <w:r>
        <w:rPr>
          <w:sz w:val="28"/>
          <w:szCs w:val="28"/>
          <w:rtl w:val="0"/>
          <w:lang w:val="ru-RU"/>
        </w:rPr>
        <w:t xml:space="preserve"> соответствуют требованиям законодательства</w:t>
      </w:r>
      <w:r>
        <w:rPr>
          <w:sz w:val="28"/>
          <w:szCs w:val="28"/>
          <w:rtl w:val="0"/>
          <w:lang w:val="ru-RU"/>
        </w:rPr>
        <w:t xml:space="preserve">, </w:t>
      </w:r>
      <w:r>
        <w:rPr>
          <w:sz w:val="28"/>
          <w:szCs w:val="28"/>
          <w:rtl w:val="0"/>
          <w:lang w:val="ru-RU"/>
        </w:rPr>
        <w:t>не содержат внутренних противоречий</w:t>
      </w:r>
      <w:r>
        <w:rPr>
          <w:sz w:val="28"/>
          <w:szCs w:val="28"/>
          <w:rtl w:val="0"/>
          <w:lang w:val="ru-RU"/>
        </w:rPr>
        <w:t xml:space="preserve">, </w:t>
      </w:r>
      <w:r>
        <w:rPr>
          <w:sz w:val="28"/>
          <w:szCs w:val="28"/>
          <w:rtl w:val="0"/>
          <w:lang w:val="ru-RU"/>
        </w:rPr>
        <w:t>оформление представленного проекта соответствует правилам юридической техники</w:t>
      </w:r>
      <w:r>
        <w:rPr>
          <w:sz w:val="28"/>
          <w:szCs w:val="28"/>
          <w:rtl w:val="0"/>
          <w:lang w:val="ru-RU"/>
        </w:rPr>
        <w:t>.</w:t>
      </w:r>
    </w:p>
    <w:p>
      <w:pPr>
        <w:pStyle w:val="По умолчанию"/>
        <w:rPr>
          <w:sz w:val="36"/>
          <w:szCs w:val="36"/>
        </w:rPr>
      </w:pPr>
      <w:r>
        <w:rPr>
          <w:rFonts w:cs="Arial Unicode MS" w:eastAsia="Arial Unicode MS" w:hint="default"/>
          <w:sz w:val="28"/>
          <w:szCs w:val="28"/>
          <w:rtl w:val="0"/>
          <w:lang w:val="ru-RU"/>
        </w:rPr>
        <w:t xml:space="preserve">Порядок вступления в силу </w:t>
      </w:r>
      <w:r>
        <w:rPr>
          <w:rFonts w:cs="Arial Unicode MS" w:eastAsia="Arial Unicode MS" w:hint="default"/>
          <w:sz w:val="28"/>
          <w:szCs w:val="28"/>
          <w:rtl w:val="0"/>
          <w:lang w:val="ru-RU"/>
        </w:rPr>
        <w:t>решения</w:t>
      </w:r>
      <w:r>
        <w:rPr>
          <w:rFonts w:cs="Arial Unicode MS" w:eastAsia="Arial Unicode MS" w:hint="default"/>
          <w:sz w:val="28"/>
          <w:szCs w:val="28"/>
          <w:rtl w:val="0"/>
          <w:lang w:val="ru-RU"/>
        </w:rPr>
        <w:t xml:space="preserve"> соответствует статье </w:t>
      </w:r>
      <w:r>
        <w:rPr>
          <w:rFonts w:cs="Arial Unicode MS" w:eastAsia="Arial Unicode MS"/>
          <w:sz w:val="28"/>
          <w:szCs w:val="28"/>
          <w:rtl w:val="0"/>
          <w:lang w:val="ru-RU"/>
        </w:rPr>
        <w:t xml:space="preserve">47 </w:t>
      </w:r>
      <w:r>
        <w:rPr>
          <w:rFonts w:cs="Arial Unicode MS" w:eastAsia="Arial Unicode MS" w:hint="default"/>
          <w:sz w:val="28"/>
          <w:szCs w:val="28"/>
          <w:rtl w:val="0"/>
          <w:lang w:val="ru-RU"/>
        </w:rPr>
        <w:t xml:space="preserve">Федерального закона от </w:t>
      </w:r>
      <w:r>
        <w:rPr>
          <w:rFonts w:cs="Arial Unicode MS" w:eastAsia="Arial Unicode MS"/>
          <w:sz w:val="28"/>
          <w:szCs w:val="28"/>
          <w:rtl w:val="0"/>
          <w:lang w:val="ru-RU"/>
        </w:rPr>
        <w:t xml:space="preserve">06.10.2003 </w:t>
      </w:r>
      <w:r>
        <w:rPr>
          <w:rFonts w:cs="Arial Unicode MS" w:eastAsia="Arial Unicode MS" w:hint="default"/>
          <w:sz w:val="28"/>
          <w:szCs w:val="28"/>
          <w:rtl w:val="0"/>
          <w:lang w:val="ru-RU"/>
        </w:rPr>
        <w:t>№</w:t>
      </w:r>
      <w:r>
        <w:rPr>
          <w:rFonts w:cs="Arial Unicode MS" w:eastAsia="Arial Unicode MS"/>
          <w:sz w:val="28"/>
          <w:szCs w:val="28"/>
          <w:rtl w:val="0"/>
          <w:lang w:val="ru-RU"/>
        </w:rPr>
        <w:t>131-</w:t>
      </w:r>
      <w:r>
        <w:rPr>
          <w:rFonts w:cs="Arial Unicode MS" w:eastAsia="Arial Unicode MS" w:hint="default"/>
          <w:sz w:val="28"/>
          <w:szCs w:val="28"/>
          <w:rtl w:val="0"/>
          <w:lang w:val="ru-RU"/>
        </w:rPr>
        <w:t>ФЗ «Об общих принципах организации местного самоуправления в Российской Федерации»</w:t>
      </w:r>
      <w:r>
        <w:rPr>
          <w:rFonts w:cs="Arial Unicode MS" w:eastAsia="Arial Unicode MS"/>
          <w:sz w:val="28"/>
          <w:szCs w:val="28"/>
          <w:rtl w:val="0"/>
          <w:lang w:val="ru-RU"/>
        </w:rPr>
        <w:t>.</w:t>
      </w:r>
    </w:p>
    <w:p>
      <w:pPr>
        <w:pStyle w:val="Обычный"/>
        <w:rPr>
          <w:rFonts w:ascii="Times New Roman" w:cs="Times New Roman" w:hAnsi="Times New Roman" w:eastAsia="Times New Roman"/>
          <w:sz w:val="28"/>
          <w:szCs w:val="28"/>
        </w:rPr>
      </w:pPr>
    </w:p>
    <w:p>
      <w:pPr>
        <w:pStyle w:val="Обычный"/>
        <w:ind w:firstLine="0"/>
        <w:outlineLvl w:val="0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Начальник юридического отдела</w:t>
      </w:r>
    </w:p>
    <w:p>
      <w:pPr>
        <w:pStyle w:val="Обычный"/>
        <w:ind w:firstLine="0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администрации Тимашевского</w:t>
      </w:r>
    </w:p>
    <w:p>
      <w:pPr>
        <w:pStyle w:val="Обычный"/>
        <w:tabs>
          <w:tab w:val="left" w:pos="9132"/>
        </w:tabs>
        <w:ind w:firstLine="0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городского поселения Тимашевского района                                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      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Ю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Ю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Кроква</w:t>
      </w:r>
    </w:p>
    <w:p>
      <w:pPr>
        <w:pStyle w:val="Обычный"/>
        <w:tabs>
          <w:tab w:val="left" w:pos="9132"/>
        </w:tabs>
        <w:ind w:firstLine="0"/>
        <w:jc w:val="right"/>
      </w:pPr>
      <w:r>
        <w:rPr>
          <w:rFonts w:ascii="Times New Roman" w:hAnsi="Times New Roman"/>
          <w:sz w:val="28"/>
          <w:szCs w:val="28"/>
          <w:rtl w:val="0"/>
          <w:lang w:val="ru-RU"/>
        </w:rPr>
        <w:t>29</w:t>
      </w:r>
      <w:r>
        <w:rPr>
          <w:rFonts w:ascii="Times New Roman" w:hAnsi="Times New Roman"/>
          <w:sz w:val="28"/>
          <w:szCs w:val="28"/>
          <w:rtl w:val="0"/>
          <w:lang w:val="ru-RU"/>
        </w:rPr>
        <w:t>.0</w:t>
      </w:r>
      <w:r>
        <w:rPr>
          <w:rFonts w:ascii="Times New Roman" w:hAnsi="Times New Roman"/>
          <w:sz w:val="28"/>
          <w:szCs w:val="28"/>
          <w:rtl w:val="0"/>
          <w:lang w:val="ru-RU"/>
        </w:rPr>
        <w:t>6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.2020  </w:t>
      </w:r>
    </w:p>
    <w:sectPr>
      <w:headerReference w:type="default" r:id="rId4"/>
      <w:footerReference w:type="default" r:id="rId5"/>
      <w:pgSz w:w="11900" w:h="16840" w:orient="portrait"/>
      <w:pgMar w:top="1134" w:right="567" w:bottom="1134" w:left="1701" w:header="720" w:footer="72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Courier New">
    <w:charset w:val="00"/>
    <w:family w:val="roman"/>
    <w:pitch w:val="default"/>
  </w:font>
  <w:font w:name="Cambria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Верхн./нижн. кол.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Верхн./нижн. кол.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08"/>
  <w:autoHyphenation w:val="0"/>
  <w:evenAndOddHeaders w:val="0"/>
  <w:bookFoldPrinting w:val="0"/>
  <w:noLineBreaksAfter w:lang="русский" w:val="‘“(〔[{〈《「『【⦅〘〖«〝︵︷︹︻︽︿﹁﹃﹇﹙﹛﹝｢"/>
  <w:noLineBreaksBefore w:lang="русский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Верхн./нижн. кол.">
    <w:name w:val="Верхн./нижн. кол."/>
    <w:next w:val="Верхн./нижн. кол.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Times New Roman" w:cs="Arial Unicode MS" w:hAnsi="Times New Roman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8"/>
      <w:szCs w:val="28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ConsPlusNonformat">
    <w:name w:val="ConsPlusNonformat"/>
    <w:next w:val="ConsPlusNonformat"/>
    <w:pPr>
      <w:keepNext w:val="0"/>
      <w:keepLines w:val="0"/>
      <w:pageBreakBefore w:val="0"/>
      <w:widowControl w:val="0"/>
      <w:shd w:val="clear" w:color="auto" w:fill="auto"/>
      <w:suppressAutoHyphens w:val="0"/>
      <w:bidi w:val="0"/>
      <w:spacing w:before="0" w:after="0" w:line="240" w:lineRule="auto"/>
      <w:ind w:left="0" w:right="0" w:firstLine="720"/>
      <w:jc w:val="both"/>
      <w:outlineLvl w:val="9"/>
    </w:pPr>
    <w:rPr>
      <w:rFonts w:ascii="Courier New" w:cs="Arial Unicode MS" w:hAnsi="Courier New" w:eastAsia="Arial Unicode MS" w:hint="default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 w:color="000000"/>
      <w:shd w:val="nil" w:color="auto" w:fill="auto"/>
      <w:vertAlign w:val="baseline"/>
      <w:lang w:val="ru-RU"/>
      <w14:textFill>
        <w14:solidFill>
          <w14:srgbClr w14:val="000000"/>
        </w14:solidFill>
      </w14:textFill>
    </w:rPr>
  </w:style>
  <w:style w:type="paragraph" w:styleId="Обычный">
    <w:name w:val="Обычный"/>
    <w:next w:val="Обычный"/>
    <w:pPr>
      <w:keepNext w:val="0"/>
      <w:keepLines w:val="0"/>
      <w:pageBreakBefore w:val="0"/>
      <w:widowControl w:val="0"/>
      <w:shd w:val="clear" w:color="auto" w:fill="auto"/>
      <w:suppressAutoHyphens w:val="0"/>
      <w:bidi w:val="0"/>
      <w:spacing w:before="0" w:after="0" w:line="240" w:lineRule="auto"/>
      <w:ind w:left="0" w:right="0" w:firstLine="720"/>
      <w:jc w:val="both"/>
      <w:outlineLvl w:val="9"/>
    </w:pPr>
    <w:rPr>
      <w:rFonts w:ascii="Arial" w:cs="Arial Unicode MS" w:hAnsi="Arial" w:eastAsia="Arial Unicode MS" w:hint="default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 w:color="000000"/>
      <w:shd w:val="nil" w:color="auto" w:fill="auto"/>
      <w:vertAlign w:val="baseline"/>
      <w:lang w:val="ru-RU"/>
      <w14:textFill>
        <w14:solidFill>
          <w14:srgbClr w14:val="000000"/>
        </w14:solidFill>
      </w14:textFill>
    </w:rPr>
  </w:style>
  <w:style w:type="paragraph" w:styleId="ConsPlusTitle">
    <w:name w:val="ConsPlusTitle"/>
    <w:next w:val="ConsPlusTitle"/>
    <w:pPr>
      <w:keepNext w:val="0"/>
      <w:keepLines w:val="0"/>
      <w:pageBreakBefore w:val="0"/>
      <w:widowControl w:val="0"/>
      <w:shd w:val="clear" w:color="auto" w:fill="auto"/>
      <w:suppressAutoHyphens w:val="0"/>
      <w:bidi w:val="0"/>
      <w:spacing w:before="0" w:after="0" w:line="240" w:lineRule="auto"/>
      <w:ind w:left="0" w:right="0" w:firstLine="720"/>
      <w:jc w:val="both"/>
      <w:outlineLvl w:val="9"/>
    </w:pPr>
    <w:rPr>
      <w:rFonts w:ascii="Times New Roman" w:cs="Times New Roman" w:hAnsi="Times New Roman" w:eastAsia="Times New Roman"/>
      <w:b w:val="1"/>
      <w:bCs w:val="1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 w:color="000000"/>
      <w:shd w:val="nil" w:color="auto" w:fill="auto"/>
      <w:vertAlign w:val="baseline"/>
      <w:lang w:val="ru-RU"/>
      <w14:textFill>
        <w14:solidFill>
          <w14:srgbClr w14:val="000000"/>
        </w14:solidFill>
      </w14:textFill>
    </w:rPr>
  </w:style>
  <w:style w:type="paragraph" w:styleId="По умолчанию">
    <w:name w:val="По умолчанию"/>
    <w:next w:val="По умолчанию"/>
    <w:pPr>
      <w:keepNext w:val="0"/>
      <w:keepLines w:val="0"/>
      <w:pageBreakBefore w:val="0"/>
      <w:widowControl w:val="0"/>
      <w:shd w:val="clear" w:color="auto" w:fill="auto"/>
      <w:suppressAutoHyphens w:val="0"/>
      <w:bidi w:val="0"/>
      <w:spacing w:before="0" w:after="0" w:line="240" w:lineRule="auto"/>
      <w:ind w:left="0" w:right="0" w:firstLine="720"/>
      <w:jc w:val="both"/>
      <w:outlineLvl w:val="9"/>
    </w:pPr>
    <w:rPr>
      <w:rFonts w:ascii="Times New Roman" w:cs="Times New Roman" w:hAnsi="Times New Roman" w:eastAsia="Times New Roman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shd w:val="nil" w:color="auto" w:fill="auto"/>
      <w:vertAlign w:val="baseline"/>
      <w:lang w:val="ru-RU"/>
      <w14:textOutline>
        <w14:noFill/>
      </w14:textOutline>
      <w14:textFill>
        <w14:solidFill>
          <w14:srgbClr w14:val="000000"/>
        </w14:solidFill>
      </w14:textFill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Times New Roman"/>
        <a:ea typeface="Times New Roman"/>
        <a:cs typeface="Times New Roman"/>
      </a:majorFont>
      <a:minorFont>
        <a:latin typeface="Times New Roman"/>
        <a:ea typeface="Times New Roman"/>
        <a:cs typeface="Times New Roma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sx="100000" sy="100000" kx="0" ky="0" algn="b" rotWithShape="0" blurRad="38100" dist="20000" dir="540000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0000" dir="540000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