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22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 результатам проведения антикоррупционной экспертизы проекта  нормативного правового акта – решения Совета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«О внесении изменений в решение Совета Тимашевского городского поселения Тимашевского района от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12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декабря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24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24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«О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бюджете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Тимашевского городского поселения Тимашевского 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на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2025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год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ind w:firstLine="708"/>
        <w:rPr>
          <w:sz w:val="24"/>
          <w:szCs w:val="24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Проект решения Совета Тимашевского городского поселения Тимашевского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района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«О внесении изменений в решение Совета Тимашевского городского поселения Тимашевского района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12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декабря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>20</w:t>
      </w:r>
      <w:r>
        <w:rPr>
          <w:rFonts w:ascii="Times New Roman" w:hAnsi="Times New Roman"/>
          <w:sz w:val="28"/>
          <w:szCs w:val="28"/>
          <w:rtl w:val="0"/>
          <w:lang w:val="ru-RU"/>
        </w:rPr>
        <w:t>24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rtl w:val="0"/>
          <w:lang w:val="ru-RU"/>
        </w:rPr>
        <w:t>24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бюджете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Тимашевского городского поселения Тимашевского района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 внесен главой Тимашевского городского поселения Тимашевского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</w:t>
      </w:r>
      <w:bookmarkStart w:name="sub_222" w:id="1"/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1"/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72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ru-RU"/>
        </w:rPr>
        <w:t>Порядок вступления в силу решения соответствует стать</w:t>
      </w:r>
      <w:r>
        <w:rPr>
          <w:sz w:val="28"/>
          <w:szCs w:val="28"/>
          <w:rtl w:val="0"/>
          <w:lang w:val="ru-RU"/>
        </w:rPr>
        <w:t>ям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52, 53</w:t>
      </w:r>
      <w:r>
        <w:rPr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sz w:val="28"/>
          <w:szCs w:val="28"/>
          <w:rtl w:val="0"/>
        </w:rPr>
        <w:t>20.03.2025 N 33-</w:t>
      </w:r>
      <w:r>
        <w:rPr>
          <w:sz w:val="28"/>
          <w:szCs w:val="28"/>
          <w:rtl w:val="0"/>
        </w:rPr>
        <w:t>ФЗ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Normal.0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25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11</w:t>
      </w:r>
      <w:r>
        <w:rPr>
          <w:rFonts w:ascii="Times New Roman" w:hAnsi="Times New Roman"/>
          <w:sz w:val="28"/>
          <w:szCs w:val="28"/>
          <w:rtl w:val="0"/>
          <w:lang w:val="ru-RU"/>
        </w:rPr>
        <w:t>.202</w:t>
      </w:r>
      <w:r>
        <w:rPr>
          <w:rFonts w:ascii="Times New Roman" w:hAnsi="Times New Roman"/>
          <w:sz w:val="28"/>
          <w:szCs w:val="28"/>
          <w:rtl w:val="0"/>
          <w:lang w:val="ru-RU"/>
        </w:rPr>
        <w:t>5</w:t>
      </w:r>
    </w:p>
    <w:p>
      <w:pPr>
        <w:pStyle w:val="Normal.0"/>
        <w:ind w:firstLine="0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</w:t>
        <w:tab/>
        <w:t xml:space="preserve"> </w:t>
      </w:r>
    </w:p>
    <w:p>
      <w:pPr>
        <w:pStyle w:val="Normal.0"/>
        <w:ind w:firstLine="0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