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nsPlusTitle"/>
              <w:widowControl w:val="1"/>
              <w:ind w:firstLine="0"/>
            </w:pP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«Об утверждении условий приватизации муниципального имущества Тимашевского городского поселения Тимашевского района</w:t>
            </w:r>
            <w:r>
              <w:rPr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b w:val="0"/>
                <w:bCs w:val="0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района </w:t>
      </w:r>
      <w:r>
        <w:rPr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 утверждении условий приватизации муниципального имущества Тимашевского 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» внесен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04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ConsPlusTitle">
    <w:name w:val="ConsPlusTitle"/>
    <w:next w:val="ConsPlusTitl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Times New Roman" w:cs="Arial Unicode MS" w:hAnsi="Times New Roman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