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b w:val="0"/>
          <w:bCs w:val="0"/>
          <w:sz w:val="26"/>
          <w:szCs w:val="26"/>
          <w:rtl w:val="0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</w:rPr>
        <w:t>ЗАКЛЮЧЕНИЕ</w:t>
      </w:r>
    </w:p>
    <w:p>
      <w:pPr>
        <w:pStyle w:val="По умолчанию"/>
        <w:bidi w:val="0"/>
        <w:ind w:left="0" w:right="0" w:firstLine="0"/>
        <w:jc w:val="center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tbl>
      <w:tblPr>
        <w:tblW w:w="9620" w:type="dxa"/>
        <w:jc w:val="left"/>
        <w:tblInd w:w="108" w:type="dxa"/>
        <w:tblBorders>
          <w:top w:val="single" w:color="000000" w:sz="2" w:space="0" w:shadow="0" w:frame="0"/>
          <w:left w:val="single" w:color="000000" w:sz="2" w:space="0" w:shadow="0" w:frame="0"/>
          <w:bottom w:val="single" w:color="000000" w:sz="2" w:space="0" w:shadow="0" w:frame="0"/>
          <w:right w:val="single" w:color="000000" w:sz="2" w:space="0" w:shadow="0" w:frame="0"/>
          <w:insideH w:val="single" w:color="000000" w:sz="2" w:space="0" w:shadow="0" w:frame="0"/>
          <w:insideV w:val="single" w:color="000000" w:sz="2" w:space="0" w:shadow="0" w:frame="0"/>
        </w:tblBorders>
        <w:shd w:val="clear" w:color="auto" w:fill="auto"/>
        <w:tblLayout w:type="fixed"/>
      </w:tblPr>
      <w:tblGrid>
        <w:gridCol w:w="9620"/>
      </w:tblGrid>
      <w:tr>
        <w:tblPrEx>
          <w:shd w:val="clear" w:color="auto" w:fill="auto"/>
        </w:tblPrEx>
        <w:trPr>
          <w:trHeight w:val="1490" w:hRule="atLeast"/>
        </w:trPr>
        <w:tc>
          <w:tcPr>
            <w:tcW w:type="dxa" w:w="96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20"/>
              <w:left w:type="dxa" w:w="20"/>
              <w:bottom w:type="dxa" w:w="20"/>
              <w:right w:type="dxa" w:w="20"/>
            </w:tcMar>
            <w:vAlign w:val="top"/>
          </w:tcPr>
          <w:p>
            <w:pPr>
              <w:pStyle w:val="Стиль таблицы 2"/>
              <w:bidi w:val="0"/>
              <w:ind w:left="0" w:right="0" w:firstLine="0"/>
              <w:jc w:val="both"/>
              <w:rPr>
                <w:rtl w:val="0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по результатам проведения антикоррупционной экспертизы проекта нормативного правового акта – решения Совета Тимашевского городского поселения Тимашевского района «Об утверждении Положения о муниципальном контроле за исполнением единой теплоснабжающейорганизацией обязательств по строительству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>,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 xml:space="preserve">реконструкции и 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>(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или</w:t>
            </w:r>
            <w:r>
              <w:rPr>
                <w:rFonts w:ascii="Times New Roman" w:hAnsi="Times New Roman"/>
                <w:b w:val="1"/>
                <w:bCs w:val="1"/>
                <w:sz w:val="24"/>
                <w:szCs w:val="24"/>
                <w:rtl w:val="0"/>
              </w:rPr>
              <w:t xml:space="preserve">) </w:t>
            </w:r>
            <w:r>
              <w:rPr>
                <w:rFonts w:ascii="Times New Roman" w:hAnsi="Times New Roman" w:hint="default"/>
                <w:b w:val="1"/>
                <w:bCs w:val="1"/>
                <w:sz w:val="24"/>
                <w:szCs w:val="24"/>
                <w:rtl w:val="0"/>
              </w:rPr>
              <w:t>модернизации объектов теплоснабжения»</w:t>
            </w:r>
          </w:p>
        </w:tc>
      </w:tr>
    </w:tbl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</w:p>
    <w:p>
      <w:pPr>
        <w:pStyle w:val="По умолчанию"/>
        <w:bidi w:val="0"/>
        <w:ind w:left="0" w:right="0" w:firstLine="70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Проект решения Совета Тимашевского городского поселения Тимашевского района внесен главой Тимашевского городского поселения Тимашевского района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В соответствии со статьей </w:t>
      </w:r>
      <w:r>
        <w:rPr>
          <w:rFonts w:ascii="Times New Roman" w:hAnsi="Times New Roman"/>
          <w:sz w:val="26"/>
          <w:szCs w:val="26"/>
          <w:rtl w:val="0"/>
        </w:rPr>
        <w:t xml:space="preserve">23.14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27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июля </w:t>
      </w:r>
      <w:r>
        <w:rPr>
          <w:rFonts w:ascii="Times New Roman" w:hAnsi="Times New Roman"/>
          <w:sz w:val="26"/>
          <w:szCs w:val="26"/>
          <w:rtl w:val="0"/>
        </w:rPr>
        <w:t xml:space="preserve">2010 </w:t>
      </w:r>
      <w:r>
        <w:rPr>
          <w:rFonts w:ascii="Times New Roman" w:hAnsi="Times New Roman" w:hint="default"/>
          <w:sz w:val="26"/>
          <w:szCs w:val="26"/>
          <w:rtl w:val="0"/>
        </w:rPr>
        <w:t>г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№ </w:t>
      </w:r>
      <w:r>
        <w:rPr>
          <w:rFonts w:ascii="Times New Roman" w:hAnsi="Times New Roman"/>
          <w:sz w:val="26"/>
          <w:szCs w:val="26"/>
          <w:rtl w:val="0"/>
        </w:rPr>
        <w:t>190-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 теплоснабжении»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Федеральным законом от </w:t>
      </w:r>
      <w:r>
        <w:rPr>
          <w:rFonts w:ascii="Times New Roman" w:hAnsi="Times New Roman"/>
          <w:sz w:val="26"/>
          <w:szCs w:val="26"/>
          <w:rtl w:val="0"/>
        </w:rPr>
        <w:t xml:space="preserve">31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июля </w:t>
      </w:r>
      <w:r>
        <w:rPr>
          <w:rFonts w:ascii="Times New Roman" w:hAnsi="Times New Roman"/>
          <w:sz w:val="26"/>
          <w:szCs w:val="26"/>
          <w:rtl w:val="0"/>
        </w:rPr>
        <w:t xml:space="preserve">2020 </w:t>
      </w:r>
      <w:r>
        <w:rPr>
          <w:rFonts w:ascii="Times New Roman" w:hAnsi="Times New Roman" w:hint="default"/>
          <w:sz w:val="26"/>
          <w:szCs w:val="26"/>
          <w:rtl w:val="0"/>
        </w:rPr>
        <w:t>г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6"/>
          <w:szCs w:val="26"/>
          <w:rtl w:val="0"/>
        </w:rPr>
        <w:t xml:space="preserve">№ </w:t>
      </w:r>
      <w:r>
        <w:rPr>
          <w:rFonts w:ascii="Times New Roman" w:hAnsi="Times New Roman"/>
          <w:sz w:val="26"/>
          <w:szCs w:val="26"/>
          <w:rtl w:val="0"/>
        </w:rPr>
        <w:t>248-</w:t>
      </w:r>
      <w:r>
        <w:rPr>
          <w:rFonts w:ascii="Times New Roman" w:hAnsi="Times New Roman" w:hint="default"/>
          <w:sz w:val="26"/>
          <w:szCs w:val="26"/>
          <w:rtl w:val="0"/>
        </w:rPr>
        <w:t xml:space="preserve">ФЗ «О государственном контроле </w:t>
      </w:r>
      <w:r>
        <w:rPr>
          <w:rFonts w:ascii="Times New Roman" w:hAnsi="Times New Roman"/>
          <w:sz w:val="26"/>
          <w:szCs w:val="26"/>
          <w:rtl w:val="0"/>
        </w:rPr>
        <w:t>(</w:t>
      </w:r>
      <w:r>
        <w:rPr>
          <w:rFonts w:ascii="Times New Roman" w:hAnsi="Times New Roman" w:hint="default"/>
          <w:sz w:val="26"/>
          <w:szCs w:val="26"/>
          <w:rtl w:val="0"/>
        </w:rPr>
        <w:t>надзоре</w:t>
      </w:r>
      <w:r>
        <w:rPr>
          <w:rFonts w:ascii="Times New Roman" w:hAnsi="Times New Roman"/>
          <w:sz w:val="26"/>
          <w:szCs w:val="26"/>
          <w:rtl w:val="0"/>
        </w:rPr>
        <w:t xml:space="preserve">)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и муниципальном контроле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</w:pPr>
      <w:r>
        <w:rPr>
          <w:rFonts w:ascii="Times New Roman" w:cs="Times New Roman" w:hAnsi="Times New Roman" w:eastAsia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ab/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Проект решения был размещен на официальном сайте администрации Тимашевского городского поселения Тимашевского района в информационно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-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теле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коммуникационной сети «Интернет» для проведения независимой экспертизы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 xml:space="preserve">. </w:t>
      </w:r>
      <w:r>
        <w:rPr>
          <w:rFonts w:ascii="Times New Roman" w:hAnsi="Times New Roman" w:hint="default"/>
          <w:outline w:val="0"/>
          <w:color w:val="21262e"/>
          <w:sz w:val="26"/>
          <w:szCs w:val="26"/>
          <w:shd w:val="clear" w:color="auto" w:fill="fefffe"/>
          <w:rtl w:val="0"/>
          <w:lang w:val="ru-RU"/>
          <w14:textFill>
            <w14:solidFill>
              <w14:srgbClr w14:val="22272F"/>
            </w14:solidFill>
          </w14:textFill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outline w:val="0"/>
          <w:color w:val="21262e"/>
          <w:sz w:val="26"/>
          <w:szCs w:val="26"/>
          <w:shd w:val="clear" w:color="auto" w:fill="fefffe"/>
          <w:rtl w:val="0"/>
          <w14:textFill>
            <w14:solidFill>
              <w14:srgbClr w14:val="22272F"/>
            </w14:solidFill>
          </w14:textFill>
        </w:rPr>
        <w:t>.</w:t>
      </w:r>
    </w:p>
    <w:p>
      <w:pPr>
        <w:pStyle w:val="По умолчанию"/>
        <w:bidi w:val="0"/>
        <w:ind w:left="0" w:right="0" w:firstLine="56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не обнаружены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решения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решения соответствует статье </w:t>
      </w:r>
      <w:r>
        <w:rPr>
          <w:rFonts w:ascii="Times New Roman" w:hAnsi="Times New Roman"/>
          <w:sz w:val="26"/>
          <w:szCs w:val="26"/>
          <w:rtl w:val="0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</w:rPr>
        <w:t>№</w:t>
      </w:r>
      <w:r>
        <w:rPr>
          <w:rFonts w:ascii="Times New Roman" w:hAnsi="Times New Roman"/>
          <w:sz w:val="26"/>
          <w:szCs w:val="26"/>
          <w:rtl w:val="0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</w:rPr>
        <w:t>.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72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 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Начальник юридического отдела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По умолчанию"/>
        <w:bidi w:val="0"/>
        <w:ind w:left="0" w:right="0" w:firstLine="0"/>
        <w:jc w:val="both"/>
        <w:rPr>
          <w:rFonts w:ascii="Times New Roman" w:cs="Times New Roman" w:hAnsi="Times New Roman" w:eastAsia="Times New Roman"/>
          <w:sz w:val="26"/>
          <w:szCs w:val="26"/>
          <w:rtl w:val="0"/>
        </w:rPr>
      </w:pPr>
      <w:r>
        <w:rPr>
          <w:rFonts w:ascii="Times New Roman" w:hAnsi="Times New Roman" w:hint="default"/>
          <w:sz w:val="26"/>
          <w:szCs w:val="26"/>
          <w:rtl w:val="0"/>
        </w:rPr>
        <w:t>городского поселения Тимашевского района                                              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    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</w:rPr>
        <w:t>Ю</w:t>
      </w:r>
      <w:r>
        <w:rPr>
          <w:rFonts w:ascii="Times New Roman" w:hAnsi="Times New Roman"/>
          <w:sz w:val="26"/>
          <w:szCs w:val="26"/>
          <w:rtl w:val="0"/>
        </w:rPr>
        <w:t>.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Кроква</w:t>
      </w:r>
    </w:p>
    <w:p>
      <w:pPr>
        <w:pStyle w:val="По умолчанию"/>
        <w:bidi w:val="0"/>
        <w:ind w:left="0" w:right="0" w:firstLine="0"/>
        <w:jc w:val="right"/>
        <w:rPr>
          <w:rtl w:val="0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20.12.2021</w:t>
      </w:r>
    </w:p>
    <w:sectPr>
      <w:headerReference w:type="default" r:id="rId4"/>
      <w:footerReference w:type="default" r:id="rId5"/>
      <w:pgSz w:w="11906" w:h="16838" w:orient="portrait"/>
      <w:pgMar w:top="1134" w:right="567" w:bottom="1134" w:left="1701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Стиль таблицы 2">
    <w:name w:val="Стиль таблицы 2"/>
    <w:next w:val="Стиль таблицы 2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2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1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