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 A"/>
        <w:jc w:val="center"/>
        <w:rPr>
          <w:rFonts w:ascii="Times New Roman" w:hAnsi="Times New Roman"/>
          <w:b w:val="1"/>
          <w:bCs w:val="1"/>
          <w:sz w:val="25"/>
          <w:szCs w:val="25"/>
        </w:rPr>
      </w:pPr>
    </w:p>
    <w:p>
      <w:pPr>
        <w:pStyle w:val="По умолчанию A"/>
        <w:jc w:val="center"/>
        <w:rPr>
          <w:rFonts w:ascii="Times New Roman" w:hAnsi="Times New Roman"/>
          <w:b w:val="1"/>
          <w:bCs w:val="1"/>
          <w:sz w:val="25"/>
          <w:szCs w:val="25"/>
        </w:rPr>
      </w:pPr>
    </w:p>
    <w:p>
      <w:pPr>
        <w:pStyle w:val="По умолчанию A"/>
        <w:jc w:val="center"/>
        <w:rPr>
          <w:rFonts w:ascii="Times New Roman" w:hAnsi="Times New Roman"/>
          <w:b w:val="1"/>
          <w:bCs w:val="1"/>
          <w:sz w:val="25"/>
          <w:szCs w:val="25"/>
        </w:rPr>
      </w:pPr>
    </w:p>
    <w:p>
      <w:pPr>
        <w:pStyle w:val="По умолчанию A"/>
        <w:jc w:val="center"/>
        <w:rPr>
          <w:rFonts w:ascii="Times New Roman" w:cs="Times New Roman" w:hAnsi="Times New Roman" w:eastAsia="Times New Roman"/>
          <w:sz w:val="25"/>
          <w:szCs w:val="25"/>
        </w:rPr>
      </w:pPr>
      <w:r>
        <w:rPr>
          <w:rFonts w:ascii="Times New Roman" w:hAnsi="Times New Roman" w:hint="default"/>
          <w:b w:val="1"/>
          <w:bCs w:val="1"/>
          <w:sz w:val="25"/>
          <w:szCs w:val="25"/>
          <w:rtl w:val="0"/>
          <w:lang w:val="ru-RU"/>
        </w:rPr>
        <w:t>ЗАКЛЮЧЕНИЕ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> </w:t>
      </w:r>
    </w:p>
    <w:tbl>
      <w:tblPr>
        <w:tblW w:w="10158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0158"/>
      </w:tblGrid>
      <w:tr>
        <w:tblPrEx>
          <w:shd w:val="clear" w:color="auto" w:fill="cadfff"/>
        </w:tblPrEx>
        <w:trPr>
          <w:trHeight w:val="3309" w:hRule="atLeast"/>
        </w:trPr>
        <w:tc>
          <w:tcPr>
            <w:tcW w:type="dxa" w:w="1015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2 A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стоимости услуг по погребению умерших 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погибших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),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не имеющих супруга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близких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родственников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иных родственников либо законного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представителя умершего 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погибшего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или при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невозможности осуществить ими погребение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а также при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отсутствии иных лиц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взявших на себя обязанность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осуществить погребение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погребение умершего 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погибшего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)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на дому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на улице или в ином месте после установления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органами внутренних дел его личности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и умерших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погибших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),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личность которых не установлена органами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внутренних дел</w:t>
            </w:r>
            <w:r>
              <w:rPr>
                <w:rFonts w:ascii="Times New Roman" w:hAnsi="Times New Roman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оказываемых на территории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Тимашевского городского поселения</w:t>
            </w:r>
            <w:r>
              <w:rPr>
                <w:rFonts w:ascii="Times New Roman" w:hAnsi="Times New Roman"/>
                <w:sz w:val="25"/>
                <w:szCs w:val="25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5"/>
                <w:szCs w:val="25"/>
                <w:shd w:val="nil" w:color="auto" w:fill="auto"/>
                <w:rtl w:val="0"/>
                <w:lang w:val="ru-RU"/>
              </w:rPr>
              <w:t>Тимашевского района»</w:t>
            </w:r>
          </w:p>
        </w:tc>
      </w:tr>
    </w:tbl>
    <w:p>
      <w:pPr>
        <w:pStyle w:val="По умолчанию A"/>
        <w:widowControl w:val="0"/>
        <w:ind w:left="108" w:hanging="108"/>
        <w:jc w:val="center"/>
        <w:rPr>
          <w:rFonts w:ascii="Times New Roman" w:cs="Times New Roman" w:hAnsi="Times New Roman" w:eastAsia="Times New Roman"/>
          <w:sz w:val="25"/>
          <w:szCs w:val="25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5"/>
          <w:szCs w:val="25"/>
        </w:rPr>
      </w:pPr>
      <w:r>
        <w:rPr>
          <w:rFonts w:ascii="Times New Roman" w:hAnsi="Times New Roman" w:hint="default"/>
          <w:sz w:val="25"/>
          <w:szCs w:val="25"/>
          <w:rtl w:val="0"/>
          <w:lang w:val="ru-RU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В соответствии с пунктами 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1, 2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статьи 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12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12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января 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1996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>года  №</w:t>
      </w:r>
      <w:r>
        <w:rPr>
          <w:rFonts w:ascii="Times New Roman" w:hAnsi="Times New Roman"/>
          <w:sz w:val="25"/>
          <w:szCs w:val="25"/>
          <w:rtl w:val="0"/>
          <w:lang w:val="ru-RU"/>
        </w:rPr>
        <w:t>8-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>ФЗ «О погребении и похоронном деле» при отсутствии супруга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>близких родственников</w:t>
      </w:r>
      <w:r>
        <w:rPr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5"/>
          <w:szCs w:val="25"/>
          <w:rtl w:val="0"/>
          <w:lang w:val="ru-RU"/>
        </w:rPr>
        <w:t xml:space="preserve">иных родственников либо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"https://lite.consultant.ru/od11/cgi/online.cgi?req=doc&amp;base=LAW&amp;n=99661&amp;dst=100004&amp;fld=134"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ru-RU"/>
        </w:rPr>
        <w:t>законного представителя</w:t>
      </w:r>
      <w:r>
        <w:rPr/>
        <w:fldChar w:fldCharType="end" w:fldLock="0"/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 умершего или при невозможности осуществить ими погребение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а также при отсутствии иных лиц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взявших на себя обязанность осуществить погребение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погребение умершего на дому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если иное не предусмотрено законодательством Российской Федерации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Погребение умерших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личность которых не установлена органами внутренних дел в определенные законодательством Российской Федерации сроки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осуществляется специализированной службой по вопросам похоронного дела с согласия указанных органов путем предания земле на определенных для таких случаев участках общественных кладбищ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cs="Times New Roman" w:hAnsi="Times New Roman" w:eastAsia="Times New Roman"/>
          <w:outline w:val="0"/>
          <w:color w:val="190cab"/>
          <w:sz w:val="25"/>
          <w:szCs w:val="25"/>
          <w:u w:color="190cab"/>
          <w14:textFill>
            <w14:solidFill>
              <w14:srgbClr w14:val="190CAB"/>
            </w14:solidFill>
          </w14:textFill>
        </w:rPr>
        <w:tab/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Пунктом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3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данной статьи предусмотрено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что стоимость указанных услуг определяется органами местного самоуправления и возмещается в порядке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предусмотренном пунктом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3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"https://lite.consultant.ru/od11/cgi/online.cgi?req=doc&amp;base=LAW&amp;n=334535&amp;dst=104&amp;fld=134"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ru-RU"/>
        </w:rPr>
        <w:t xml:space="preserve">статьи </w:t>
      </w:r>
      <w:r>
        <w:rPr>
          <w:rStyle w:val="Hyperlink.1"/>
          <w:rtl w:val="0"/>
          <w:lang w:val="ru-RU"/>
        </w:rPr>
        <w:t>9</w:t>
      </w:r>
      <w:r>
        <w:rPr/>
        <w:fldChar w:fldCharType="end" w:fldLock="0"/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 данного Федерального закона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       Проектом решения предлагается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по согласованию с департаментом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государственного регулирования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тарифов Краснодарского края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утвердить стоимость услуг по погребению умерших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указанных в пунктах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1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и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2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статьи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12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Федерального закона от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12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января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1996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года  №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8-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ФЗ «О погребении и похоронном деле»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на территории Тимашевского городского поселения Тимашевского района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. </w:t>
      </w:r>
    </w:p>
    <w:p>
      <w:pPr>
        <w:pStyle w:val="По умолчанию A"/>
        <w:ind w:firstLine="72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ind w:firstLine="56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не содержат внутренних противоречий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47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 xml:space="preserve">Федерального закона от 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 xml:space="preserve">06.10.2003 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№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131-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Начальник юридического отдела</w:t>
      </w: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администрации Тимашевского</w:t>
      </w:r>
    </w:p>
    <w:p>
      <w:pPr>
        <w:pStyle w:val="По умолчанию A"/>
        <w:jc w:val="both"/>
        <w:rPr>
          <w:rStyle w:val="Нет"/>
          <w:rFonts w:ascii="Times New Roman" w:cs="Times New Roman" w:hAnsi="Times New Roman" w:eastAsia="Times New Roman"/>
          <w:sz w:val="25"/>
          <w:szCs w:val="25"/>
        </w:rPr>
      </w:pP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городского поселения Тимашевского района                                                                Ю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Ю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5"/>
          <w:szCs w:val="25"/>
          <w:rtl w:val="0"/>
          <w:lang w:val="ru-RU"/>
        </w:rPr>
        <w:t>Кроква</w:t>
      </w:r>
    </w:p>
    <w:p>
      <w:pPr>
        <w:pStyle w:val="По умолчанию A"/>
        <w:jc w:val="right"/>
      </w:pP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21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.02.202</w:t>
      </w:r>
      <w:r>
        <w:rPr>
          <w:rStyle w:val="Нет"/>
          <w:rFonts w:ascii="Times New Roman" w:hAnsi="Times New Roman"/>
          <w:sz w:val="25"/>
          <w:szCs w:val="25"/>
          <w:rtl w:val="0"/>
          <w:lang w:val="ru-RU"/>
        </w:rPr>
        <w:t>3</w:t>
      </w:r>
    </w:p>
    <w:sectPr>
      <w:headerReference w:type="default" r:id="rId4"/>
      <w:footerReference w:type="default" r:id="rId5"/>
      <w:pgSz w:w="11900" w:h="16840" w:orient="portrait"/>
      <w:pgMar w:top="142" w:right="567" w:bottom="142" w:left="1134" w:header="709" w:footer="85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Стиль таблицы 2 A">
    <w:name w:val="Стиль таблицы 2 A"/>
    <w:next w:val="Стиль таблицы 2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rFonts w:ascii="Times New Roman" w:cs="Times New Roman" w:hAnsi="Times New Roman" w:eastAsia="Times New Roman"/>
      <w:sz w:val="25"/>
      <w:szCs w:val="25"/>
      <w:u w:color="190cab"/>
    </w:rPr>
  </w:style>
  <w:style w:type="character" w:styleId="Hyperlink.1">
    <w:name w:val="Hyperlink.1"/>
    <w:basedOn w:val="Нет"/>
    <w:next w:val="Hyperlink.1"/>
    <w:rPr>
      <w:rFonts w:ascii="Times New Roman" w:cs="Times New Roman" w:hAnsi="Times New Roman" w:eastAsia="Times New Roman"/>
      <w:outline w:val="0"/>
      <w:color w:val="000000"/>
      <w:sz w:val="25"/>
      <w:szCs w:val="25"/>
      <w:u w:color="000000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