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nsPlusNonformat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ЗАКЛЮЧЕНИЕ</w:t>
      </w:r>
    </w:p>
    <w:p>
      <w:pPr>
        <w:pStyle w:val="ConsPlusNonformat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tbl>
      <w:tblPr>
        <w:tblW w:w="985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854"/>
      </w:tblGrid>
      <w:tr>
        <w:tblPrEx>
          <w:shd w:val="clear" w:color="auto" w:fill="ced7e7"/>
        </w:tblPrEx>
        <w:trPr>
          <w:trHeight w:val="2868" w:hRule="atLeast"/>
        </w:trPr>
        <w:tc>
          <w:tcPr>
            <w:tcW w:type="dxa" w:w="98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ind w:firstLine="0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по результатам проведения антикоррупционной экспертизы проекта  муниципального нормативного правового акта – постановления администрации Тимашевского городского поселения Тимашевского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муниципального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района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 Краснодарского края «О внесении изменений в постановление администрации Тимашевского городского поселения Тимашевского района от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15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февраля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2022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года №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110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«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Об утверждении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окумента планирования регулярных перевозок пассажиров и багажа автомобильным транспортом по муниципальным маршрутам на территории Тимашевского городского поселения Тимашевского района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 xml:space="preserve">» </w:t>
            </w:r>
          </w:p>
        </w:tc>
      </w:tr>
    </w:tbl>
    <w:p>
      <w:pPr>
        <w:pStyle w:val="ConsPlusNonformat"/>
        <w:ind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Заголовок 1"/>
        <w:spacing w:before="0" w:after="0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bookmarkStart w:name="sub_1101" w:id="0"/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Проект постановления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внесён заместителем главы Тимашевского городского поселения Тимашевского района»</w:t>
      </w:r>
      <w:bookmarkEnd w:id="0"/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 в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соответствии с пунктом 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5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статьи 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14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Федерального закона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от 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6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октября 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2003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№ 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>131-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Федеральным законом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от 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13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июля 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2015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№ 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220 -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законом Краснодарского края от 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21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декабря 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2018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№ 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>3931-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КЗ «Об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крае»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>.</w:t>
      </w:r>
    </w:p>
    <w:p>
      <w:pPr>
        <w:pStyle w:val="Заголовок 1"/>
        <w:spacing w:before="0" w:after="0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Проект постановления был размещен на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официальном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сайте Тимашевского городского поселения Тимашевского района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 xml:space="preserve"> Краснодарского края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для проведения независимой экспертизы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В установленный срок от независимых экспертов заключения не поступали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ходе антикоррупционной экспертизы коррупциогенные факторы в проекте муниципального нормативного правового акта  не обнаружены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положения проекта соответствуют требованиям законодательства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содержат внутренних противоречий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оформление представленного проекта соответствует правилам юридической техники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Порядок вступления в силу постановления соответствует стать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52, 53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Федерального закона от </w:t>
      </w:r>
      <w:r>
        <w:rPr>
          <w:rFonts w:ascii="Times New Roman" w:hAnsi="Times New Roman"/>
          <w:sz w:val="28"/>
          <w:szCs w:val="28"/>
          <w:rtl w:val="0"/>
          <w:lang w:val="ru-RU"/>
        </w:rPr>
        <w:t>20.03.2025 N 33-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ФЗ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ind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ачальник юридического отдела</w:t>
      </w:r>
    </w:p>
    <w:p>
      <w:pPr>
        <w:pStyle w:val="Обычный"/>
        <w:ind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администрации Тимашевского</w:t>
      </w:r>
    </w:p>
    <w:p>
      <w:pPr>
        <w:pStyle w:val="Обычный"/>
        <w:ind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городского поселения Тимашевского района                                  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Кроква </w:t>
      </w:r>
    </w:p>
    <w:p>
      <w:pPr>
        <w:pStyle w:val="Обычный"/>
        <w:ind w:firstLine="0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26.02.2026</w:t>
      </w:r>
    </w:p>
    <w:p>
      <w:pPr>
        <w:pStyle w:val="Обычный"/>
        <w:ind w:firstLine="0"/>
        <w:jc w:val="right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ind w:firstLine="0"/>
        <w:jc w:val="right"/>
      </w:pP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134" w:right="567" w:bottom="1134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ourier New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nsPlusNonformat">
    <w:name w:val="ConsPlusNonformat"/>
    <w:next w:val="ConsPlusNonforma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720"/>
      <w:jc w:val="both"/>
      <w:outlineLvl w:val="9"/>
    </w:pPr>
    <w:rPr>
      <w:rFonts w:ascii="Courier New" w:cs="Arial Unicode MS" w:hAnsi="Courier New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720"/>
      <w:jc w:val="both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Заголовок 1">
    <w:name w:val="Заголовок 1"/>
    <w:next w:val="Обычный"/>
    <w:pPr>
      <w:keepNext w:val="1"/>
      <w:keepLines w:val="0"/>
      <w:pageBreakBefore w:val="0"/>
      <w:widowControl w:val="0"/>
      <w:shd w:val="clear" w:color="auto" w:fill="auto"/>
      <w:suppressAutoHyphens w:val="0"/>
      <w:bidi w:val="0"/>
      <w:spacing w:before="240" w:after="60" w:line="240" w:lineRule="auto"/>
      <w:ind w:left="0" w:right="0" w:firstLine="720"/>
      <w:jc w:val="both"/>
      <w:outlineLvl w:val="0"/>
    </w:pPr>
    <w:rPr>
      <w:rFonts w:ascii="Arial" w:cs="Arial" w:hAnsi="Arial" w:eastAsia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2"/>
      <w:position w:val="0"/>
      <w:sz w:val="32"/>
      <w:szCs w:val="3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