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ЗАКЛЮЧЕНИЕ</w:t>
      </w:r>
    </w:p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985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54"/>
      </w:tblGrid>
      <w:tr>
        <w:tblPrEx>
          <w:shd w:val="clear" w:color="auto" w:fill="ced7e7"/>
        </w:tblPrEx>
        <w:trPr>
          <w:trHeight w:val="2548" w:hRule="atLeast"/>
        </w:trPr>
        <w:tc>
          <w:tcPr>
            <w:tcW w:type="dxa" w:w="98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sPlusTitle"/>
              <w:widowControl w:val="1"/>
              <w:ind w:firstLine="0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по результатам проведения антикоррупционной экспертизы проекта  нормативного правового акта – решения Совета Тимашевского городского поселения Тимашевского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муниципального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района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Краснодарского края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«О внесении изменений в решение Совета Тимашевского городского поселения Тимашевского района от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19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октября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2016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г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№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220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«Об установлении налога на имущество физических лиц на территории Тимашевского городского поселения Тимашевского района» </w:t>
            </w:r>
            <w:r>
              <w:rPr>
                <w:b w:val="0"/>
                <w:bCs w:val="0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ConsPlusNonformat"/>
        <w:ind w:firstLine="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Прижатый влево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bookmarkStart w:name="sub_1101"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Проект решения Совета Тимашевского городского поселения Тимашевского района </w:t>
      </w:r>
      <w:r>
        <w:rPr>
          <w:sz w:val="28"/>
          <w:szCs w:val="28"/>
          <w:rtl w:val="0"/>
          <w:lang w:val="ru-RU"/>
        </w:rPr>
        <w:t>«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 внесении изменений в решение Совета Тимашевского городского поселения Тимашевского района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№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«Об установлении налога на имущество физических лиц на территории Тимашевского городского поселения Тимашевского района» внесен </w:t>
      </w:r>
      <w:bookmarkEnd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>главой Тимашевского городского поселения Тимашевского района и подготовлен отделом экономики и прогнозирования администрации Тимашевского городского поселения Тимашевского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 решения был размещен на официальном сайте Тимашевского городского поселения Тимашевского 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информационно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коммуникационной сети «Интернет» для проведения независимой экспертизы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установленный срок от независимых экспертов заключения не поступали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ind w:firstLine="567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ходе антикоррупционной экспертизы коррупциогенные факторы в проекте муниципального нормативного правового акта не обнаружены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положения проекта решения соответствуют требованиям законодательства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содержат внутренних противоречий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оформление представленного проекта соответствует правилам юридической техники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Порядок вступления в силу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постановления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соответствует </w:t>
      </w:r>
      <w:bookmarkStart w:name="sub_11012" w:id="1"/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стать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ru-RU"/>
        </w:rPr>
        <w:t>52, 53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Федерального закона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20.03.2025 N 33-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ФЗ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Обычный"/>
        <w:rPr>
          <w:rFonts w:ascii="Times New Roman" w:cs="Times New Roman" w:hAnsi="Times New Roman" w:eastAsia="Times New Roman"/>
          <w:sz w:val="28"/>
          <w:szCs w:val="28"/>
        </w:rPr>
      </w:pPr>
      <w:bookmarkEnd w:id="1"/>
    </w:p>
    <w:p>
      <w:pPr>
        <w:pStyle w:val="Обычный"/>
        <w:ind w:firstLine="0"/>
        <w:outlineLvl w:val="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Обычный"/>
        <w:ind w:firstLine="0"/>
        <w:outlineLvl w:val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ачальник юридического отдела</w:t>
      </w:r>
    </w:p>
    <w:p>
      <w:pPr>
        <w:pStyle w:val="Обычный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администрации Тимашевского</w:t>
      </w:r>
    </w:p>
    <w:p>
      <w:pPr>
        <w:pStyle w:val="Обычный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городского поселения Тимашевского 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                  </w:t>
      </w:r>
    </w:p>
    <w:p>
      <w:pPr>
        <w:pStyle w:val="Обычный"/>
        <w:ind w:firstLine="0"/>
        <w:jc w:val="right"/>
      </w:pPr>
      <w:r>
        <w:rPr>
          <w:rFonts w:ascii="Times New Roman" w:hAnsi="Times New Roman"/>
          <w:sz w:val="28"/>
          <w:szCs w:val="28"/>
          <w:rtl w:val="0"/>
          <w:lang w:val="ru-RU"/>
        </w:rPr>
        <w:t>16.09.2026</w:t>
      </w: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urier New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sPlusNonformat">
    <w:name w:val="ConsPlusNonformat"/>
    <w:next w:val="ConsPlusNonforma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PlusTitle">
    <w:name w:val="ConsPlusTitle"/>
    <w:next w:val="ConsPlus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Прижатый влево">
    <w:name w:val="Прижатый влево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