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F45321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</w:p>
    <w:p w:rsidR="009D5361" w:rsidRDefault="0073240A" w:rsidP="00F45321">
      <w:pPr>
        <w:tabs>
          <w:tab w:val="left" w:pos="600"/>
        </w:tabs>
        <w:jc w:val="center"/>
        <w:rPr>
          <w:sz w:val="28"/>
          <w:szCs w:val="28"/>
        </w:rPr>
      </w:pPr>
      <w:r w:rsidRPr="0073240A">
        <w:rPr>
          <w:sz w:val="28"/>
          <w:szCs w:val="28"/>
        </w:rPr>
        <w:t xml:space="preserve"> </w:t>
      </w:r>
      <w:r w:rsidRPr="00915028">
        <w:rPr>
          <w:sz w:val="28"/>
          <w:szCs w:val="28"/>
        </w:rPr>
        <w:t>на территории</w:t>
      </w:r>
      <w:r w:rsidR="00F45321"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AE2F4B">
        <w:rPr>
          <w:sz w:val="28"/>
          <w:szCs w:val="28"/>
        </w:rPr>
        <w:t>26</w:t>
      </w:r>
      <w:r w:rsidR="00B60706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марта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680999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7266C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рай</w:t>
      </w:r>
      <w:r w:rsidR="00974521">
        <w:rPr>
          <w:sz w:val="28"/>
          <w:szCs w:val="28"/>
        </w:rPr>
        <w:t>она,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1</w:t>
      </w:r>
      <w:r w:rsidR="005330C2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апреля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1 марта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982EFC">
        <w:rPr>
          <w:sz w:val="28"/>
          <w:szCs w:val="28"/>
        </w:rPr>
        <w:t>7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F7266C">
        <w:rPr>
          <w:bCs/>
          <w:sz w:val="28"/>
          <w:szCs w:val="28"/>
        </w:rPr>
        <w:t>29000</w:t>
      </w:r>
      <w:r w:rsidR="00451477">
        <w:rPr>
          <w:bCs/>
          <w:sz w:val="28"/>
          <w:szCs w:val="28"/>
        </w:rPr>
        <w:t xml:space="preserve"> (</w:t>
      </w:r>
      <w:r w:rsidR="00F7266C">
        <w:rPr>
          <w:bCs/>
          <w:sz w:val="28"/>
          <w:szCs w:val="28"/>
        </w:rPr>
        <w:t>двадцать девять</w:t>
      </w:r>
      <w:r w:rsidR="000E7F51">
        <w:rPr>
          <w:bCs/>
          <w:sz w:val="28"/>
          <w:szCs w:val="28"/>
        </w:rPr>
        <w:t xml:space="preserve"> тысяч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10722A">
        <w:rPr>
          <w:sz w:val="28"/>
          <w:szCs w:val="28"/>
        </w:rPr>
        <w:t>20</w:t>
      </w:r>
      <w:r w:rsidR="005330C2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февраля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680999">
        <w:rPr>
          <w:sz w:val="28"/>
          <w:szCs w:val="28"/>
        </w:rPr>
        <w:t>6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1</w:t>
      </w:r>
      <w:r w:rsidR="0010722A">
        <w:rPr>
          <w:sz w:val="28"/>
          <w:szCs w:val="28"/>
        </w:rPr>
        <w:t>8</w:t>
      </w:r>
      <w:r w:rsidR="007E66D9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марта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CC33BE">
        <w:rPr>
          <w:sz w:val="28"/>
          <w:szCs w:val="28"/>
        </w:rPr>
        <w:t>7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</w:t>
      </w:r>
      <w:r w:rsidR="00AE2F4B">
        <w:rPr>
          <w:sz w:val="28"/>
          <w:szCs w:val="28"/>
        </w:rPr>
        <w:t>26</w:t>
      </w:r>
      <w:r w:rsidR="00451477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марта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680999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района</w:t>
      </w:r>
      <w:r w:rsidR="00D801E6">
        <w:rPr>
          <w:sz w:val="28"/>
          <w:szCs w:val="28"/>
        </w:rPr>
        <w:t xml:space="preserve"> 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</w:t>
      </w:r>
      <w:r w:rsidR="008F50DC">
        <w:rPr>
          <w:sz w:val="28"/>
          <w:szCs w:val="28"/>
        </w:rPr>
        <w:t xml:space="preserve"> и заявке на </w:t>
      </w:r>
      <w:r w:rsidRPr="0037142F">
        <w:rPr>
          <w:sz w:val="28"/>
          <w:szCs w:val="28"/>
        </w:rPr>
        <w:t>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7B214F">
        <w:rPr>
          <w:sz w:val="28"/>
          <w:szCs w:val="28"/>
        </w:rPr>
        <w:t>20</w:t>
      </w:r>
      <w:bookmarkStart w:id="2" w:name="_GoBack"/>
      <w:bookmarkEnd w:id="2"/>
      <w:r w:rsidR="00CE216A">
        <w:rPr>
          <w:sz w:val="28"/>
          <w:szCs w:val="28"/>
        </w:rPr>
        <w:t xml:space="preserve"> </w:t>
      </w:r>
      <w:r w:rsidR="009474F4">
        <w:rPr>
          <w:sz w:val="28"/>
          <w:szCs w:val="28"/>
        </w:rPr>
        <w:t>февраля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474F4">
        <w:rPr>
          <w:sz w:val="28"/>
          <w:szCs w:val="28"/>
        </w:rPr>
        <w:t>6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63" w:rsidRDefault="00AA5363">
      <w:r>
        <w:separator/>
      </w:r>
    </w:p>
  </w:endnote>
  <w:endnote w:type="continuationSeparator" w:id="0">
    <w:p w:rsidR="00AA5363" w:rsidRDefault="00AA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63" w:rsidRDefault="00AA5363">
      <w:r>
        <w:separator/>
      </w:r>
    </w:p>
  </w:footnote>
  <w:footnote w:type="continuationSeparator" w:id="0">
    <w:p w:rsidR="00AA5363" w:rsidRDefault="00AA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7B214F">
          <w:rPr>
            <w:noProof/>
            <w:sz w:val="28"/>
            <w:szCs w:val="28"/>
          </w:rPr>
          <w:t>6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20C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22A"/>
    <w:rsid w:val="001075F4"/>
    <w:rsid w:val="00107FB5"/>
    <w:rsid w:val="00110556"/>
    <w:rsid w:val="0011182D"/>
    <w:rsid w:val="00111866"/>
    <w:rsid w:val="00112628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4255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0999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14F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6B1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8B3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0DC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4F4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A5363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2F4B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D6EDB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941"/>
    <w:rsid w:val="00D07ED0"/>
    <w:rsid w:val="00D113A5"/>
    <w:rsid w:val="00D1173B"/>
    <w:rsid w:val="00D117C5"/>
    <w:rsid w:val="00D13EFE"/>
    <w:rsid w:val="00D1551A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0EB2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45321"/>
    <w:rsid w:val="00F56C09"/>
    <w:rsid w:val="00F57293"/>
    <w:rsid w:val="00F60943"/>
    <w:rsid w:val="00F62DA9"/>
    <w:rsid w:val="00F6325B"/>
    <w:rsid w:val="00F6680F"/>
    <w:rsid w:val="00F66B10"/>
    <w:rsid w:val="00F71E42"/>
    <w:rsid w:val="00F7266C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191D2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D2FD-D895-4F76-A52B-53EF3AB2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1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451</cp:revision>
  <cp:lastPrinted>2025-12-10T07:56:00Z</cp:lastPrinted>
  <dcterms:created xsi:type="dcterms:W3CDTF">2011-06-08T03:55:00Z</dcterms:created>
  <dcterms:modified xsi:type="dcterms:W3CDTF">2026-02-13T08:30:00Z</dcterms:modified>
</cp:coreProperties>
</file>