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onsPlusNonformat"/>
        <w:jc w:val="center"/>
        <w:outlineLvl w:val="0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ЗАКЛЮЧЕНИЕ</w:t>
      </w:r>
    </w:p>
    <w:p>
      <w:pPr>
        <w:pStyle w:val="ConsPlusNonformat"/>
        <w:jc w:val="center"/>
        <w:outlineLvl w:val="0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</w:p>
    <w:tbl>
      <w:tblPr>
        <w:tblW w:w="9854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9854"/>
      </w:tblGrid>
      <w:tr>
        <w:tblPrEx>
          <w:shd w:val="clear" w:color="auto" w:fill="ced7e7"/>
        </w:tblPrEx>
        <w:trPr>
          <w:trHeight w:val="2228" w:hRule="atLeast"/>
        </w:trPr>
        <w:tc>
          <w:tcPr>
            <w:tcW w:type="dxa" w:w="985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ind w:firstLine="0"/>
            </w:pP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по результатам проведения антикоррупционной экспертизы проекта  нормативного правового акта – решения Совета Тимашевского городского поселения Тимашевского </w:t>
            </w: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муниципального </w:t>
            </w: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shd w:val="nil" w:color="auto" w:fill="auto"/>
                <w:rtl w:val="0"/>
                <w:lang w:val="ru-RU"/>
              </w:rPr>
              <w:t>района</w:t>
            </w: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 Краснодарского края </w:t>
            </w: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«О внесении изменений в решение Совета Тимашевского городского поселения Тимашевского района от </w:t>
            </w: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11 </w:t>
            </w: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декабря </w:t>
            </w: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shd w:val="nil" w:color="auto" w:fill="auto"/>
                <w:rtl w:val="0"/>
                <w:lang w:val="ru-RU"/>
              </w:rPr>
              <w:t>20</w:t>
            </w: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shd w:val="nil" w:color="auto" w:fill="auto"/>
                <w:rtl w:val="0"/>
                <w:lang w:val="ru-RU"/>
              </w:rPr>
              <w:t>25</w:t>
            </w: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 г</w:t>
            </w: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№ </w:t>
            </w: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shd w:val="nil" w:color="auto" w:fill="auto"/>
                <w:rtl w:val="0"/>
                <w:lang w:val="ru-RU"/>
              </w:rPr>
              <w:t>69</w:t>
            </w: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 «О</w:t>
            </w: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 бюджете </w:t>
            </w: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shd w:val="nil" w:color="auto" w:fill="auto"/>
                <w:rtl w:val="0"/>
                <w:lang w:val="ru-RU"/>
              </w:rPr>
              <w:t>Тимашевского городского поселения Тимашевского района</w:t>
            </w: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 на </w:t>
            </w: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2026 </w:t>
            </w: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shd w:val="nil" w:color="auto" w:fill="auto"/>
                <w:rtl w:val="0"/>
                <w:lang w:val="ru-RU"/>
              </w:rPr>
              <w:t>год</w:t>
            </w: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» </w:t>
            </w:r>
            <w:r>
              <w:rPr>
                <w:rFonts w:ascii="Times New Roman" w:cs="Times New Roman" w:hAnsi="Times New Roman" w:eastAsia="Times New Roman"/>
                <w:sz w:val="28"/>
                <w:szCs w:val="28"/>
                <w:shd w:val="nil" w:color="auto" w:fill="auto"/>
              </w:rPr>
            </w:r>
          </w:p>
        </w:tc>
      </w:tr>
    </w:tbl>
    <w:p>
      <w:pPr>
        <w:pStyle w:val="ConsPlusNonformat"/>
        <w:ind w:firstLine="0"/>
        <w:jc w:val="center"/>
        <w:outlineLvl w:val="0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</w:p>
    <w:p>
      <w:pPr>
        <w:pStyle w:val="Normal.0"/>
        <w:ind w:firstLine="708"/>
        <w:rPr>
          <w:sz w:val="24"/>
          <w:szCs w:val="24"/>
        </w:rPr>
      </w:pPr>
      <w:bookmarkStart w:name="sub_1101" w:id="0"/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Проект решения Совета Тимашевского городского поселения Тимашевского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муниципального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района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Краснодарского края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«О внесении изменений в решение Совета Тимашевского городского поселения Тимашевского района от </w:t>
      </w:r>
      <w:r>
        <w:rPr>
          <w:rFonts w:ascii="Times New Roman" w:hAnsi="Times New Roman"/>
          <w:sz w:val="28"/>
          <w:szCs w:val="28"/>
          <w:rtl w:val="0"/>
          <w:lang w:val="ru-RU"/>
        </w:rPr>
        <w:t>11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декабря </w:t>
      </w:r>
      <w:r>
        <w:rPr>
          <w:rFonts w:ascii="Times New Roman" w:hAnsi="Times New Roman"/>
          <w:sz w:val="28"/>
          <w:szCs w:val="28"/>
          <w:rtl w:val="0"/>
          <w:lang w:val="ru-RU"/>
        </w:rPr>
        <w:t>20</w:t>
      </w:r>
      <w:r>
        <w:rPr>
          <w:rFonts w:ascii="Times New Roman" w:hAnsi="Times New Roman"/>
          <w:sz w:val="28"/>
          <w:szCs w:val="28"/>
          <w:rtl w:val="0"/>
          <w:lang w:val="ru-RU"/>
        </w:rPr>
        <w:t>25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г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№ </w:t>
      </w:r>
      <w:r>
        <w:rPr>
          <w:rFonts w:ascii="Times New Roman" w:hAnsi="Times New Roman"/>
          <w:sz w:val="28"/>
          <w:szCs w:val="28"/>
          <w:rtl w:val="0"/>
          <w:lang w:val="ru-RU"/>
        </w:rPr>
        <w:t>69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«О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бюджете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Тимашевского городского поселения Тимашевского района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на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2026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год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» внесен главой Тимашевского городского поселения Тимашевского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муниципального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район</w:t>
      </w:r>
      <w:bookmarkEnd w:id="0"/>
      <w:r>
        <w:rPr>
          <w:rFonts w:ascii="Times New Roman" w:hAnsi="Times New Roman" w:hint="default"/>
          <w:sz w:val="28"/>
          <w:szCs w:val="28"/>
          <w:rtl w:val="0"/>
          <w:lang w:val="ru-RU"/>
        </w:rPr>
        <w:t>а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Краснодарского края</w:t>
      </w:r>
      <w:bookmarkStart w:name="sub_222" w:id="1"/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  <w:bookmarkEnd w:id="1"/>
    </w:p>
    <w:p>
      <w:pPr>
        <w:pStyle w:val="Normal.0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Проект решения был размещен на официальном сайте Тимашевского городского поселения Тимашевского района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Краснодарского края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 информационно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телекоммуникационной сети «Интернет» для проведения независимой экспертизы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 установленный срок от независимых экспертов заключения не поступали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ind w:firstLine="567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В ходе антикоррупционной экспертизы коррупциогенные факторы в проекте муниципального нормативного правового акта не обнаружены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положения проекта решения соответствуют требованиям законодательства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не содержат внутренних противоречий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оформление представленного проекта соответствует правилам юридической техники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line="240" w:lineRule="auto"/>
        <w:ind w:left="0" w:right="0" w:firstLine="720"/>
        <w:jc w:val="both"/>
        <w:rPr>
          <w:sz w:val="28"/>
          <w:szCs w:val="28"/>
          <w:rtl w:val="0"/>
        </w:rPr>
      </w:pPr>
      <w:r>
        <w:rPr>
          <w:sz w:val="28"/>
          <w:szCs w:val="28"/>
          <w:rtl w:val="0"/>
          <w:lang w:val="ru-RU"/>
        </w:rPr>
        <w:t>Порядок вступления в силу решения соответствует стать</w:t>
      </w:r>
      <w:r>
        <w:rPr>
          <w:sz w:val="28"/>
          <w:szCs w:val="28"/>
          <w:rtl w:val="0"/>
          <w:lang w:val="ru-RU"/>
        </w:rPr>
        <w:t>ям</w:t>
      </w:r>
      <w:r>
        <w:rPr>
          <w:sz w:val="28"/>
          <w:szCs w:val="28"/>
          <w:rtl w:val="0"/>
        </w:rPr>
        <w:t xml:space="preserve"> </w:t>
      </w:r>
      <w:r>
        <w:rPr>
          <w:sz w:val="28"/>
          <w:szCs w:val="28"/>
          <w:rtl w:val="0"/>
          <w:lang w:val="ru-RU"/>
        </w:rPr>
        <w:t>52, 53</w:t>
      </w:r>
      <w:r>
        <w:rPr>
          <w:sz w:val="28"/>
          <w:szCs w:val="28"/>
          <w:rtl w:val="0"/>
          <w:lang w:val="ru-RU"/>
        </w:rPr>
        <w:t xml:space="preserve"> Федерального закона от </w:t>
      </w:r>
      <w:r>
        <w:rPr>
          <w:sz w:val="28"/>
          <w:szCs w:val="28"/>
          <w:rtl w:val="0"/>
        </w:rPr>
        <w:t>20.03.2025 N 33-</w:t>
      </w:r>
      <w:r>
        <w:rPr>
          <w:sz w:val="28"/>
          <w:szCs w:val="28"/>
          <w:rtl w:val="0"/>
        </w:rPr>
        <w:t>ФЗ</w:t>
      </w:r>
      <w:r>
        <w:rPr>
          <w:sz w:val="28"/>
          <w:szCs w:val="28"/>
          <w:rtl w:val="0"/>
          <w:lang w:val="ru-RU"/>
        </w:rPr>
        <w:t xml:space="preserve"> </w:t>
      </w:r>
      <w:r>
        <w:rPr>
          <w:sz w:val="28"/>
          <w:szCs w:val="28"/>
          <w:rtl w:val="0"/>
          <w:lang w:val="ru-RU"/>
        </w:rPr>
        <w:t>"</w:t>
      </w:r>
      <w:r>
        <w:rPr>
          <w:sz w:val="28"/>
          <w:szCs w:val="28"/>
          <w:rtl w:val="0"/>
          <w:lang w:val="ru-RU"/>
        </w:rPr>
        <w:t>Об общих принципах организации местного самоуправления в единой системе публичной власти</w:t>
      </w:r>
      <w:r>
        <w:rPr>
          <w:sz w:val="28"/>
          <w:szCs w:val="28"/>
          <w:rtl w:val="0"/>
          <w:lang w:val="ru-RU"/>
        </w:rPr>
        <w:t>"</w:t>
      </w:r>
      <w:r>
        <w:rPr>
          <w:sz w:val="28"/>
          <w:szCs w:val="28"/>
          <w:rtl w:val="0"/>
          <w:lang w:val="ru-RU"/>
        </w:rPr>
        <w:t>.</w:t>
      </w:r>
    </w:p>
    <w:p>
      <w:pPr>
        <w:pStyle w:val="Normal.0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ind w:firstLine="0"/>
        <w:outlineLvl w:val="0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Начальник юридического отдела</w:t>
      </w:r>
    </w:p>
    <w:p>
      <w:pPr>
        <w:pStyle w:val="Normal.0"/>
        <w:ind w:firstLine="0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администрации Тимашевского</w:t>
      </w:r>
    </w:p>
    <w:p>
      <w:pPr>
        <w:pStyle w:val="Normal.0"/>
        <w:ind w:firstLine="0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городского поселения Тимашевского района                                  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  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Ю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Ю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Кроква</w:t>
      </w:r>
    </w:p>
    <w:p>
      <w:pPr>
        <w:pStyle w:val="Normal.0"/>
        <w:ind w:firstLine="0"/>
        <w:jc w:val="right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>22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  <w:r>
        <w:rPr>
          <w:rFonts w:ascii="Times New Roman" w:hAnsi="Times New Roman"/>
          <w:sz w:val="28"/>
          <w:szCs w:val="28"/>
          <w:rtl w:val="0"/>
          <w:lang w:val="ru-RU"/>
        </w:rPr>
        <w:t>09</w:t>
      </w:r>
      <w:r>
        <w:rPr>
          <w:rFonts w:ascii="Times New Roman" w:hAnsi="Times New Roman"/>
          <w:sz w:val="28"/>
          <w:szCs w:val="28"/>
          <w:rtl w:val="0"/>
          <w:lang w:val="ru-RU"/>
        </w:rPr>
        <w:t>.202</w:t>
      </w:r>
      <w:r>
        <w:rPr>
          <w:rFonts w:ascii="Times New Roman" w:hAnsi="Times New Roman"/>
          <w:sz w:val="28"/>
          <w:szCs w:val="28"/>
          <w:rtl w:val="0"/>
          <w:lang w:val="ru-RU"/>
        </w:rPr>
        <w:t>6</w:t>
      </w:r>
    </w:p>
    <w:p>
      <w:pPr>
        <w:pStyle w:val="Normal.0"/>
        <w:ind w:firstLine="0"/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            </w:t>
        <w:tab/>
        <w:t xml:space="preserve"> </w:t>
      </w:r>
    </w:p>
    <w:p>
      <w:pPr>
        <w:pStyle w:val="Normal.0"/>
        <w:ind w:firstLine="0"/>
      </w:pPr>
      <w:r>
        <w:rPr>
          <w:rFonts w:ascii="Times New Roman" w:cs="Times New Roman" w:hAnsi="Times New Roman" w:eastAsia="Times New Roman"/>
          <w:sz w:val="28"/>
          <w:szCs w:val="28"/>
        </w:rPr>
      </w:r>
    </w:p>
    <w:sectPr>
      <w:headerReference w:type="default" r:id="rId4"/>
      <w:footerReference w:type="default" r:id="rId5"/>
      <w:pgSz w:w="11900" w:h="16840" w:orient="portrait"/>
      <w:pgMar w:top="1134" w:right="567" w:bottom="1134" w:left="1701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ourier New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Верхн./нижн. кол.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Верхн./нижн. кол.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Верхн./нижн. кол.">
    <w:name w:val="Верхн./нижн. кол."/>
    <w:next w:val="Верхн./нижн. кол.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ConsPlusNonformat">
    <w:name w:val="ConsPlusNonformat"/>
    <w:next w:val="ConsPlusNonformat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720"/>
      <w:jc w:val="both"/>
      <w:outlineLvl w:val="9"/>
    </w:pPr>
    <w:rPr>
      <w:rFonts w:ascii="Courier New" w:cs="Arial Unicode MS" w:hAnsi="Courier New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720"/>
      <w:jc w:val="both"/>
      <w:outlineLvl w:val="9"/>
    </w:pPr>
    <w:rPr>
      <w:rFonts w:ascii="Arial" w:cs="Arial Unicode MS" w:hAnsi="Arial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paragraph" w:styleId="По умолчанию">
    <w:name w:val="По умолчанию"/>
    <w:next w:val="По умолчанию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/>
      <w:shd w:val="nil" w:color="auto" w:fill="auto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Times New Roman"/>
        <a:ea typeface="Times New Roman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