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FB65EA">
        <w:rPr>
          <w:sz w:val="28"/>
          <w:szCs w:val="28"/>
        </w:rPr>
        <w:t>2</w:t>
      </w:r>
      <w:r w:rsidR="003D6146">
        <w:rPr>
          <w:sz w:val="28"/>
          <w:szCs w:val="28"/>
        </w:rPr>
        <w:t>6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3D6146">
        <w:rPr>
          <w:sz w:val="28"/>
          <w:szCs w:val="28"/>
        </w:rPr>
        <w:t>27</w:t>
      </w:r>
      <w:r w:rsidR="00B40C60">
        <w:rPr>
          <w:sz w:val="28"/>
          <w:szCs w:val="28"/>
        </w:rPr>
        <w:t xml:space="preserve"> </w:t>
      </w:r>
      <w:r w:rsidR="00390422">
        <w:rPr>
          <w:sz w:val="28"/>
          <w:szCs w:val="28"/>
        </w:rPr>
        <w:t>ноября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FB65EA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FB65EA">
        <w:rPr>
          <w:sz w:val="28"/>
          <w:szCs w:val="28"/>
        </w:rPr>
        <w:t xml:space="preserve">ого </w:t>
      </w:r>
      <w:r w:rsidRPr="00691F72">
        <w:rPr>
          <w:sz w:val="28"/>
          <w:szCs w:val="28"/>
        </w:rPr>
        <w:t>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</w:t>
      </w:r>
    </w:p>
    <w:p w:rsidR="008345F6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192C06">
        <w:rPr>
          <w:sz w:val="28"/>
          <w:szCs w:val="28"/>
        </w:rPr>
        <w:t>продовольственных товаров</w:t>
      </w:r>
      <w:r w:rsidR="00242C31">
        <w:rPr>
          <w:sz w:val="28"/>
          <w:szCs w:val="28"/>
        </w:rPr>
        <w:t xml:space="preserve"> </w:t>
      </w:r>
    </w:p>
    <w:p w:rsidR="008345F6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</w:t>
      </w:r>
      <w:proofErr w:type="gramStart"/>
      <w:r w:rsidRPr="00691F72">
        <w:rPr>
          <w:sz w:val="28"/>
          <w:szCs w:val="28"/>
        </w:rPr>
        <w:t>городского</w:t>
      </w:r>
      <w:proofErr w:type="gramEnd"/>
      <w:r w:rsidRPr="00691F72">
        <w:rPr>
          <w:sz w:val="28"/>
          <w:szCs w:val="28"/>
        </w:rPr>
        <w:t xml:space="preserve"> </w:t>
      </w:r>
    </w:p>
    <w:p w:rsidR="0075357D" w:rsidRPr="00691F72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55112B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486" w:type="dxa"/>
          </w:tcPr>
          <w:p w:rsidR="009538C5" w:rsidRDefault="00450A91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450A91" w:rsidRDefault="00450A9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55112B">
        <w:trPr>
          <w:trHeight w:val="996"/>
        </w:trPr>
        <w:tc>
          <w:tcPr>
            <w:tcW w:w="3369" w:type="dxa"/>
          </w:tcPr>
          <w:p w:rsidR="00FB65EA" w:rsidRDefault="00FB65EA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</w:t>
            </w:r>
          </w:p>
          <w:p w:rsidR="00FB65EA" w:rsidRDefault="00FB65EA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6486" w:type="dxa"/>
          </w:tcPr>
          <w:p w:rsidR="00FB65EA" w:rsidRDefault="00FB65EA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экономики и прогнозирования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секретарь комиссии</w:t>
            </w:r>
          </w:p>
          <w:p w:rsidR="00FB65EA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55112B">
        <w:trPr>
          <w:trHeight w:val="996"/>
        </w:trPr>
        <w:tc>
          <w:tcPr>
            <w:tcW w:w="3369" w:type="dxa"/>
          </w:tcPr>
          <w:p w:rsidR="00390422" w:rsidRDefault="00390422" w:rsidP="00B769D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Седа </w:t>
            </w:r>
          </w:p>
          <w:p w:rsidR="00FB65EA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FB65EA" w:rsidRDefault="00390422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D0281" w:rsidRDefault="002D028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55112B">
        <w:trPr>
          <w:trHeight w:val="1070"/>
        </w:trPr>
        <w:tc>
          <w:tcPr>
            <w:tcW w:w="3369" w:type="dxa"/>
          </w:tcPr>
          <w:p w:rsidR="00390422" w:rsidRDefault="00390422" w:rsidP="0039042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  <w:p w:rsidR="00FB65EA" w:rsidRPr="0097382D" w:rsidRDefault="00390422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390422" w:rsidRDefault="00390422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B65EA" w:rsidRPr="0097382D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55112B" w:rsidRPr="0097382D" w:rsidTr="0055112B">
        <w:trPr>
          <w:trHeight w:val="1070"/>
        </w:trPr>
        <w:tc>
          <w:tcPr>
            <w:tcW w:w="3369" w:type="dxa"/>
          </w:tcPr>
          <w:p w:rsidR="0055112B" w:rsidRDefault="0055112B" w:rsidP="0039042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  <w:p w:rsidR="0055112B" w:rsidRDefault="0055112B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:rsidR="0055112B" w:rsidRDefault="0055112B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</w:t>
      </w:r>
      <w:r w:rsidR="00BD2C79">
        <w:rPr>
          <w:bCs/>
          <w:sz w:val="28"/>
          <w:szCs w:val="28"/>
        </w:rPr>
        <w:lastRenderedPageBreak/>
        <w:t xml:space="preserve">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FB65EA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FB65EA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FB65EA">
        <w:rPr>
          <w:bCs/>
          <w:sz w:val="28"/>
          <w:szCs w:val="28"/>
        </w:rPr>
        <w:t>а</w:t>
      </w:r>
      <w:r w:rsidR="007E7AE0">
        <w:rPr>
          <w:bCs/>
          <w:sz w:val="28"/>
          <w:szCs w:val="28"/>
        </w:rPr>
        <w:t xml:space="preserve">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r w:rsidR="00192C06">
        <w:rPr>
          <w:bCs/>
          <w:sz w:val="28"/>
          <w:szCs w:val="28"/>
        </w:rPr>
        <w:t>продовольственных товаров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3D6146">
        <w:rPr>
          <w:sz w:val="28"/>
          <w:szCs w:val="28"/>
        </w:rPr>
        <w:t>27</w:t>
      </w:r>
      <w:r w:rsidR="00390422">
        <w:rPr>
          <w:sz w:val="28"/>
          <w:szCs w:val="28"/>
        </w:rPr>
        <w:t xml:space="preserve"> ноября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40873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462EC5">
        <w:rPr>
          <w:sz w:val="28"/>
          <w:szCs w:val="28"/>
        </w:rPr>
        <w:t>го</w:t>
      </w:r>
      <w:proofErr w:type="spellEnd"/>
      <w:r w:rsidR="00462EC5">
        <w:rPr>
          <w:sz w:val="28"/>
          <w:szCs w:val="28"/>
        </w:rPr>
        <w:t xml:space="preserve">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>от 30</w:t>
      </w:r>
      <w:proofErr w:type="gramEnd"/>
      <w:r w:rsidR="00ED759C">
        <w:rPr>
          <w:bCs/>
          <w:sz w:val="28"/>
          <w:szCs w:val="28"/>
        </w:rPr>
        <w:t xml:space="preserve"> </w:t>
      </w:r>
      <w:proofErr w:type="gramStart"/>
      <w:r w:rsidR="00ED759C">
        <w:rPr>
          <w:bCs/>
          <w:sz w:val="28"/>
          <w:szCs w:val="28"/>
        </w:rPr>
        <w:t xml:space="preserve">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</w:t>
      </w:r>
      <w:proofErr w:type="gramEnd"/>
      <w:r w:rsidR="00F805C2">
        <w:rPr>
          <w:sz w:val="28"/>
          <w:szCs w:val="28"/>
        </w:rPr>
        <w:t xml:space="preserve"> </w:t>
      </w:r>
      <w:proofErr w:type="gramStart"/>
      <w:r w:rsidR="00F805C2">
        <w:rPr>
          <w:sz w:val="28"/>
          <w:szCs w:val="28"/>
        </w:rPr>
        <w:t xml:space="preserve">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 xml:space="preserve">(с изменениями от 9 апреля 2024 г. № 370)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FB65EA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FB65EA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по реализации </w:t>
      </w:r>
      <w:r w:rsidR="00192C06">
        <w:rPr>
          <w:sz w:val="28"/>
          <w:szCs w:val="28"/>
        </w:rPr>
        <w:t>продовольственных товаров</w:t>
      </w:r>
      <w:r w:rsidR="00BD2C79" w:rsidRPr="00F72B6F">
        <w:rPr>
          <w:sz w:val="28"/>
          <w:szCs w:val="28"/>
        </w:rPr>
        <w:t xml:space="preserve"> 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городского поселения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района </w:t>
      </w:r>
      <w:r w:rsidR="00F37593">
        <w:rPr>
          <w:sz w:val="28"/>
          <w:szCs w:val="28"/>
        </w:rPr>
        <w:t xml:space="preserve">от </w:t>
      </w:r>
      <w:r w:rsidR="003D6146">
        <w:rPr>
          <w:sz w:val="28"/>
          <w:szCs w:val="28"/>
        </w:rPr>
        <w:t>15</w:t>
      </w:r>
      <w:r w:rsidR="00F37593">
        <w:rPr>
          <w:sz w:val="28"/>
          <w:szCs w:val="28"/>
        </w:rPr>
        <w:t xml:space="preserve"> </w:t>
      </w:r>
      <w:r w:rsidR="003D6146">
        <w:rPr>
          <w:sz w:val="28"/>
          <w:szCs w:val="28"/>
        </w:rPr>
        <w:t>октября</w:t>
      </w:r>
      <w:r w:rsidR="00F37593">
        <w:rPr>
          <w:sz w:val="28"/>
          <w:szCs w:val="28"/>
        </w:rPr>
        <w:t xml:space="preserve"> 202</w:t>
      </w:r>
      <w:r w:rsidR="00092306">
        <w:rPr>
          <w:sz w:val="28"/>
          <w:szCs w:val="28"/>
        </w:rPr>
        <w:t>4</w:t>
      </w:r>
      <w:r w:rsidR="00F37593">
        <w:rPr>
          <w:sz w:val="28"/>
          <w:szCs w:val="28"/>
        </w:rPr>
        <w:t xml:space="preserve"> г. № </w:t>
      </w:r>
      <w:r w:rsidR="003D6146">
        <w:rPr>
          <w:sz w:val="28"/>
          <w:szCs w:val="28"/>
        </w:rPr>
        <w:t>1092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FB65EA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8661C6">
        <w:rPr>
          <w:sz w:val="28"/>
        </w:rPr>
        <w:t xml:space="preserve">г. Тимашевск, ул. </w:t>
      </w:r>
      <w:r w:rsidR="003D6146">
        <w:rPr>
          <w:sz w:val="28"/>
        </w:rPr>
        <w:t>Красная</w:t>
      </w:r>
      <w:proofErr w:type="gramEnd"/>
      <w:r w:rsidR="003D6146">
        <w:rPr>
          <w:sz w:val="28"/>
        </w:rPr>
        <w:t>, 110Д/3</w:t>
      </w:r>
      <w:r w:rsidR="00FB65EA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3D6146">
        <w:rPr>
          <w:sz w:val="28"/>
        </w:rPr>
        <w:t xml:space="preserve">индивидуального предпринимателя Москаленко Олега Владимировича </w:t>
      </w:r>
      <w:r w:rsidR="00F37593">
        <w:rPr>
          <w:sz w:val="28"/>
        </w:rPr>
        <w:t xml:space="preserve">(далее </w:t>
      </w:r>
      <w:r w:rsidR="003D6146">
        <w:rPr>
          <w:sz w:val="28"/>
        </w:rPr>
        <w:t>ИП Москаленко О.В.</w:t>
      </w:r>
      <w:r w:rsidR="00AC07D9">
        <w:rPr>
          <w:sz w:val="28"/>
        </w:rPr>
        <w:t>)</w:t>
      </w:r>
      <w:r w:rsidR="00FB65EA">
        <w:rPr>
          <w:sz w:val="28"/>
        </w:rPr>
        <w:t>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61209B">
        <w:rPr>
          <w:sz w:val="28"/>
        </w:rPr>
        <w:t>1</w:t>
      </w:r>
      <w:r w:rsidR="003D6146">
        <w:rPr>
          <w:sz w:val="28"/>
        </w:rPr>
        <w:t>1</w:t>
      </w:r>
      <w:r w:rsidR="00F37593">
        <w:rPr>
          <w:sz w:val="28"/>
        </w:rPr>
        <w:t xml:space="preserve"> </w:t>
      </w:r>
      <w:r w:rsidR="003D6146">
        <w:rPr>
          <w:sz w:val="28"/>
        </w:rPr>
        <w:t>ноября</w:t>
      </w:r>
      <w:r w:rsidR="00F37593">
        <w:rPr>
          <w:sz w:val="28"/>
        </w:rPr>
        <w:t xml:space="preserve"> 202</w:t>
      </w:r>
      <w:r w:rsidR="00C63149">
        <w:rPr>
          <w:sz w:val="28"/>
        </w:rPr>
        <w:t>4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92645">
        <w:rPr>
          <w:sz w:val="28"/>
          <w:szCs w:val="28"/>
        </w:rPr>
        <w:t>2</w:t>
      </w:r>
      <w:r w:rsidR="006B0ADB">
        <w:rPr>
          <w:sz w:val="28"/>
          <w:szCs w:val="28"/>
        </w:rPr>
        <w:t>6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D92645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6B0ADB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99" w:type="dxa"/>
            <w:vAlign w:val="center"/>
          </w:tcPr>
          <w:p w:rsidR="00C07DC1" w:rsidRPr="00174274" w:rsidRDefault="006B0ADB" w:rsidP="00192C0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ИП Москаленко О.В.</w:t>
            </w:r>
          </w:p>
        </w:tc>
        <w:tc>
          <w:tcPr>
            <w:tcW w:w="1276" w:type="dxa"/>
            <w:vAlign w:val="center"/>
          </w:tcPr>
          <w:p w:rsidR="00174274" w:rsidRDefault="0061209B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  <w:r w:rsidR="00CB62AB">
              <w:rPr>
                <w:sz w:val="18"/>
                <w:szCs w:val="18"/>
              </w:rPr>
              <w:t xml:space="preserve">, </w:t>
            </w:r>
          </w:p>
          <w:p w:rsidR="00C07DC1" w:rsidRPr="00C16D25" w:rsidRDefault="00192C06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6B0ADB" w:rsidP="00A74FB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Дополнительно приложено свидетельство о внесении в ЕГРЮЛ записи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 xml:space="preserve"> зарегистрированном КФХ</w:t>
            </w: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6B0ADB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E539EE" w:rsidP="006B0AD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6B0ADB">
              <w:rPr>
                <w:sz w:val="16"/>
                <w:szCs w:val="16"/>
              </w:rPr>
              <w:t>Красная, 110Д/3</w:t>
            </w:r>
            <w:r w:rsidR="00D00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8E28FC" w:rsidRDefault="002D0281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  <w:r w:rsidR="00484DBF">
              <w:rPr>
                <w:sz w:val="16"/>
                <w:szCs w:val="16"/>
              </w:rPr>
              <w:t xml:space="preserve">, </w:t>
            </w:r>
          </w:p>
          <w:p w:rsidR="00484DBF" w:rsidRPr="00263F21" w:rsidRDefault="00367349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24" w:type="dxa"/>
            <w:vAlign w:val="center"/>
          </w:tcPr>
          <w:p w:rsidR="00484DBF" w:rsidRPr="00263F21" w:rsidRDefault="006B0ADB" w:rsidP="008078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Москаленко О.В.</w:t>
            </w:r>
          </w:p>
        </w:tc>
        <w:tc>
          <w:tcPr>
            <w:tcW w:w="844" w:type="dxa"/>
            <w:vAlign w:val="center"/>
          </w:tcPr>
          <w:p w:rsidR="00484DBF" w:rsidRPr="00263F21" w:rsidRDefault="00C728B7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  <w:r w:rsidR="00041E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6B0ADB" w:rsidP="002D02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673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="003F4016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Pr="00807830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807830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807830">
        <w:rPr>
          <w:sz w:val="28"/>
        </w:rPr>
        <w:t xml:space="preserve">г. Тимашевск, ул. </w:t>
      </w:r>
      <w:r w:rsidR="00E525EA">
        <w:rPr>
          <w:sz w:val="28"/>
        </w:rPr>
        <w:t>Красная, 110Д/3</w:t>
      </w:r>
      <w:r w:rsidR="00511D00" w:rsidRPr="00807830">
        <w:rPr>
          <w:sz w:val="28"/>
        </w:rPr>
        <w:t xml:space="preserve"> </w:t>
      </w:r>
      <w:r w:rsidR="00E413C8"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только одна заявка от одного </w:t>
      </w:r>
      <w:r w:rsidR="00E413C8" w:rsidRPr="00807830">
        <w:rPr>
          <w:sz w:val="28"/>
          <w:szCs w:val="28"/>
        </w:rPr>
        <w:t>заявителя</w:t>
      </w:r>
      <w:r w:rsidR="000A46BB" w:rsidRPr="00807830">
        <w:rPr>
          <w:sz w:val="28"/>
          <w:szCs w:val="28"/>
        </w:rPr>
        <w:t xml:space="preserve"> </w:t>
      </w:r>
      <w:r w:rsidR="00CA7CEA" w:rsidRPr="00807830">
        <w:rPr>
          <w:sz w:val="28"/>
          <w:szCs w:val="28"/>
        </w:rPr>
        <w:t>–</w:t>
      </w:r>
      <w:r w:rsidR="00E413C8" w:rsidRPr="00807830">
        <w:rPr>
          <w:sz w:val="28"/>
          <w:szCs w:val="28"/>
        </w:rPr>
        <w:t xml:space="preserve"> </w:t>
      </w:r>
      <w:r w:rsidR="00E525EA">
        <w:rPr>
          <w:sz w:val="28"/>
          <w:szCs w:val="28"/>
        </w:rPr>
        <w:t>ИП Москаленко О.В</w:t>
      </w:r>
      <w:r w:rsidR="002D0281">
        <w:rPr>
          <w:sz w:val="28"/>
          <w:szCs w:val="28"/>
        </w:rPr>
        <w:t>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E525EA">
        <w:rPr>
          <w:sz w:val="28"/>
          <w:szCs w:val="28"/>
        </w:rPr>
        <w:t>ИП Москаленко О.В.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E525EA">
        <w:rPr>
          <w:sz w:val="28"/>
          <w:szCs w:val="28"/>
        </w:rPr>
        <w:t>27</w:t>
      </w:r>
      <w:r w:rsidR="002F2642">
        <w:rPr>
          <w:sz w:val="28"/>
          <w:szCs w:val="28"/>
        </w:rPr>
        <w:t xml:space="preserve"> </w:t>
      </w:r>
      <w:r w:rsidR="002D0281">
        <w:rPr>
          <w:sz w:val="28"/>
          <w:szCs w:val="28"/>
        </w:rPr>
        <w:t>ноября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B00624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CA7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70645" w:rsidRPr="0097382D" w:rsidTr="001332CD">
        <w:trPr>
          <w:trHeight w:val="978"/>
        </w:trPr>
        <w:tc>
          <w:tcPr>
            <w:tcW w:w="6204" w:type="dxa"/>
          </w:tcPr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F6768" w:rsidRPr="0097382D" w:rsidTr="001332CD">
        <w:trPr>
          <w:trHeight w:val="1445"/>
        </w:trPr>
        <w:tc>
          <w:tcPr>
            <w:tcW w:w="6204" w:type="dxa"/>
          </w:tcPr>
          <w:p w:rsidR="00CF6768" w:rsidRDefault="00807830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комиссии</w:t>
            </w:r>
          </w:p>
        </w:tc>
        <w:tc>
          <w:tcPr>
            <w:tcW w:w="1417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807830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</w:tc>
      </w:tr>
      <w:tr w:rsidR="00995F3D" w:rsidRPr="0097382D" w:rsidTr="001332CD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995F3D" w:rsidRPr="0097382D" w:rsidRDefault="00995F3D" w:rsidP="002D02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43A4F" w:rsidRPr="0097382D" w:rsidTr="001332CD">
        <w:trPr>
          <w:trHeight w:val="962"/>
        </w:trPr>
        <w:tc>
          <w:tcPr>
            <w:tcW w:w="6204" w:type="dxa"/>
          </w:tcPr>
          <w:p w:rsidR="00C67BFA" w:rsidRPr="00511D00" w:rsidRDefault="002D0281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5A534F" w:rsidRPr="0097382D" w:rsidRDefault="005A534F" w:rsidP="002D0281">
            <w:pPr>
              <w:widowControl w:val="0"/>
              <w:rPr>
                <w:sz w:val="28"/>
                <w:szCs w:val="28"/>
              </w:rPr>
            </w:pPr>
          </w:p>
        </w:tc>
      </w:tr>
      <w:tr w:rsidR="001332CD" w:rsidRPr="0097382D" w:rsidTr="001332CD">
        <w:trPr>
          <w:trHeight w:val="962"/>
        </w:trPr>
        <w:tc>
          <w:tcPr>
            <w:tcW w:w="6204" w:type="dxa"/>
          </w:tcPr>
          <w:p w:rsidR="001332CD" w:rsidRDefault="001332CD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1332CD" w:rsidRPr="0097382D" w:rsidRDefault="001332C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</w:p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</w:p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  <w:bookmarkStart w:id="0" w:name="_GoBack"/>
      <w:bookmarkEnd w:id="0"/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8C" w:rsidRDefault="004F7B8C">
      <w:r>
        <w:separator/>
      </w:r>
    </w:p>
  </w:endnote>
  <w:endnote w:type="continuationSeparator" w:id="0">
    <w:p w:rsidR="004F7B8C" w:rsidRDefault="004F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8C" w:rsidRDefault="004F7B8C">
      <w:r>
        <w:separator/>
      </w:r>
    </w:p>
  </w:footnote>
  <w:footnote w:type="continuationSeparator" w:id="0">
    <w:p w:rsidR="004F7B8C" w:rsidRDefault="004F7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1332CD">
      <w:rPr>
        <w:rStyle w:val="a8"/>
        <w:noProof/>
        <w:sz w:val="28"/>
        <w:szCs w:val="28"/>
      </w:rPr>
      <w:t>6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2CD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B8C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12B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DFC"/>
    <w:rsid w:val="00700F31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590F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790D-CE3F-4543-B761-22ACB24B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397</cp:revision>
  <cp:lastPrinted>2024-11-27T07:24:00Z</cp:lastPrinted>
  <dcterms:created xsi:type="dcterms:W3CDTF">2011-06-29T11:59:00Z</dcterms:created>
  <dcterms:modified xsi:type="dcterms:W3CDTF">2024-11-27T07:24:00Z</dcterms:modified>
</cp:coreProperties>
</file>