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nsPlusNonformat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ЗАКЛЮЧЕНИЕ</w:t>
      </w:r>
    </w:p>
    <w:p>
      <w:pPr>
        <w:pStyle w:val="ConsPlusNonformat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tbl>
      <w:tblPr>
        <w:tblW w:w="985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854"/>
      </w:tblGrid>
      <w:tr>
        <w:tblPrEx>
          <w:shd w:val="clear" w:color="auto" w:fill="ced7e7"/>
        </w:tblPrEx>
        <w:trPr>
          <w:trHeight w:val="1908" w:hRule="atLeast"/>
        </w:trPr>
        <w:tc>
          <w:tcPr>
            <w:tcW w:type="dxa" w:w="98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sPlusTitle"/>
              <w:widowControl w:val="1"/>
              <w:ind w:firstLine="0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по результатам проведения антикоррупционной экспертизы проекта  нормативного правового акта – решения Совета Тимашевского городского поселения Тимашевского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муниципального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района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Краснодарского края «Об установлении учетной нормы и нормы предоставления жилого помещения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» </w:t>
            </w:r>
            <w:r>
              <w:rPr>
                <w:b w:val="0"/>
                <w:bCs w:val="0"/>
                <w:sz w:val="28"/>
                <w:szCs w:val="28"/>
                <w:shd w:val="nil" w:color="auto" w:fill="auto"/>
              </w:rPr>
            </w:r>
          </w:p>
        </w:tc>
      </w:tr>
    </w:tbl>
    <w:p>
      <w:pPr>
        <w:pStyle w:val="ConsPlusNonformat"/>
        <w:ind w:firstLine="0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Прижатый влево"/>
        <w:ind w:firstLine="708"/>
        <w:jc w:val="both"/>
        <w:rPr>
          <w:rFonts w:ascii="Times New Roman" w:cs="Times New Roman" w:hAnsi="Times New Roman" w:eastAsia="Times New Roman"/>
          <w:sz w:val="28"/>
          <w:szCs w:val="28"/>
        </w:rPr>
      </w:pPr>
      <w:bookmarkStart w:name="sub_1101" w:id="0"/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Проект решения Совета Тимашевского городского поселени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Тимашевского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муниципального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района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Краснодарского края </w:t>
      </w:r>
      <w:r>
        <w:rPr>
          <w:sz w:val="28"/>
          <w:szCs w:val="28"/>
          <w:rtl w:val="0"/>
          <w:lang w:val="ru-RU"/>
        </w:rPr>
        <w:t>«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 установлении учетной нормы и нормы предоставления жилого помещения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» внесен </w:t>
      </w:r>
      <w:bookmarkEnd w:id="0"/>
      <w:r>
        <w:rPr>
          <w:rFonts w:ascii="Times New Roman" w:hAnsi="Times New Roman" w:hint="default"/>
          <w:sz w:val="28"/>
          <w:szCs w:val="28"/>
          <w:rtl w:val="0"/>
          <w:lang w:val="ru-RU"/>
        </w:rPr>
        <w:t>главой Тимашевского городского поселения Тимашевского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муниципального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района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Краснодарского края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Проект решения был размещен на официальном сайте Тимашевского городского поселения Тимашевского района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Краснодарского края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информационно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коммуникационной сети «Интернет» для проведения независимой экспертизы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установленный срок от независимых экспертов заключения не поступали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567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ходе антикоррупционной экспертизы коррупциогенные факторы в проекте муниципального нормативного правового акта не обнаружены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положения проекта решения соответствуют требованиям законодательства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содержат внутренних противоречий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оформление представленного проекта соответствует правилам юридической техники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Порядок вступления в силу решения соответствует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стать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52, 53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Федерального закона от </w:t>
      </w:r>
      <w:r>
        <w:rPr>
          <w:rFonts w:ascii="Times New Roman" w:hAnsi="Times New Roman"/>
          <w:sz w:val="28"/>
          <w:szCs w:val="28"/>
          <w:rtl w:val="0"/>
          <w:lang w:val="ru-RU"/>
        </w:rPr>
        <w:t>20.03.2025 N 33-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ФЗ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ind w:firstLine="0"/>
        <w:outlineLvl w:val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Начальник юридического отдела</w:t>
      </w:r>
    </w:p>
    <w:p>
      <w:pPr>
        <w:pStyle w:val="Обычный"/>
        <w:ind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администрации Тимашевского</w:t>
      </w:r>
    </w:p>
    <w:p>
      <w:pPr>
        <w:pStyle w:val="Обычный"/>
        <w:ind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городского поселения Тимашевского района                             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   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Ю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Ю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Кроква</w:t>
      </w:r>
    </w:p>
    <w:p>
      <w:pPr>
        <w:pStyle w:val="Обычный"/>
        <w:ind w:firstLine="0"/>
        <w:jc w:val="right"/>
      </w:pPr>
      <w:r>
        <w:rPr>
          <w:rFonts w:ascii="Times New Roman" w:hAnsi="Times New Roman"/>
          <w:sz w:val="28"/>
          <w:szCs w:val="28"/>
          <w:rtl w:val="0"/>
          <w:lang w:val="ru-RU"/>
        </w:rPr>
        <w:t>03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/>
          <w:sz w:val="28"/>
          <w:szCs w:val="28"/>
          <w:rtl w:val="0"/>
          <w:lang w:val="ru-RU"/>
        </w:rPr>
        <w:t>12</w:t>
      </w:r>
      <w:r>
        <w:rPr>
          <w:rFonts w:ascii="Times New Roman" w:hAnsi="Times New Roman"/>
          <w:sz w:val="28"/>
          <w:szCs w:val="28"/>
          <w:rtl w:val="0"/>
          <w:lang w:val="ru-RU"/>
        </w:rPr>
        <w:t>.20</w:t>
      </w:r>
      <w:r>
        <w:rPr>
          <w:rFonts w:ascii="Times New Roman" w:hAnsi="Times New Roman"/>
          <w:sz w:val="28"/>
          <w:szCs w:val="28"/>
          <w:rtl w:val="0"/>
          <w:lang w:val="ru-RU"/>
        </w:rPr>
        <w:t>25</w:t>
      </w: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134" w:right="567" w:bottom="1134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ourier New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./нижн. кол.">
    <w:name w:val="Верхн./нижн. кол."/>
    <w:next w:val="Верхн./нижн. кол.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nsPlusNonformat">
    <w:name w:val="ConsPlusNonformat"/>
    <w:next w:val="ConsPlusNonforma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720"/>
      <w:jc w:val="both"/>
      <w:outlineLvl w:val="9"/>
    </w:pPr>
    <w:rPr>
      <w:rFonts w:ascii="Courier New" w:cs="Arial Unicode MS" w:hAnsi="Courier New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ConsPlusTitle">
    <w:name w:val="ConsPlusTitle"/>
    <w:next w:val="ConsPlus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720"/>
      <w:jc w:val="both"/>
      <w:outlineLvl w:val="9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Прижатый влево">
    <w:name w:val="Прижатый влево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720"/>
      <w:jc w:val="both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