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onsPlusNonformat"/>
        <w:jc w:val="center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>ЗАКЛЮЧЕНИЕ</w:t>
      </w:r>
    </w:p>
    <w:p>
      <w:pPr>
        <w:pStyle w:val="Default"/>
        <w:jc w:val="both"/>
        <w:rPr>
          <w:rFonts w:ascii="Times New Roman" w:cs="Times New Roman" w:hAnsi="Times New Roman" w:eastAsia="Times New Roman"/>
          <w:b w:val="1"/>
          <w:bCs w:val="1"/>
          <w:outline w:val="0"/>
          <w:color w:val="000000"/>
          <w:sz w:val="28"/>
          <w:szCs w:val="28"/>
          <w:u w:color="000000"/>
          <w14:textFill>
            <w14:solidFill>
              <w14:srgbClr w14:val="000000"/>
            </w14:solidFill>
          </w14:textFill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>по результатам проведения антикоррупционной экспертизы проекта муниципального нормативного правового акта – постановления администрации Тимашевского городского поселения Тимашевского района «</w:t>
      </w:r>
      <w:r>
        <w:rPr>
          <w:rFonts w:ascii="Times New Roman" w:hAnsi="Times New Roman" w:hint="default"/>
          <w:b w:val="1"/>
          <w:bCs w:val="1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Об утверждении перечня муниципальных услуг</w:t>
      </w:r>
      <w:r>
        <w:rPr>
          <w:rFonts w:ascii="Times New Roman" w:hAnsi="Times New Roman"/>
          <w:b w:val="1"/>
          <w:bCs w:val="1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, </w:t>
      </w:r>
      <w:r>
        <w:rPr>
          <w:rFonts w:ascii="Times New Roman" w:hAnsi="Times New Roman" w:hint="default"/>
          <w:b w:val="1"/>
          <w:bCs w:val="1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предоставляемых</w:t>
      </w:r>
      <w:r>
        <w:rPr>
          <w:rFonts w:ascii="Times New Roman" w:hAnsi="Times New Roman"/>
          <w:b w:val="1"/>
          <w:bCs w:val="1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 </w:t>
      </w:r>
      <w:r>
        <w:rPr>
          <w:rFonts w:ascii="Times New Roman" w:hAnsi="Times New Roman" w:hint="default"/>
          <w:b w:val="1"/>
          <w:bCs w:val="1"/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>администрацией Тимашевского городского поселения Тимашевского района</w:t>
      </w:r>
      <w:r>
        <w:rPr>
          <w:b w:val="1"/>
          <w:bCs w:val="1"/>
          <w:sz w:val="26"/>
          <w:szCs w:val="26"/>
          <w:rtl w:val="0"/>
          <w:lang w:val="ru-RU"/>
        </w:rPr>
        <w:t>»</w:t>
      </w:r>
    </w:p>
    <w:p>
      <w:pPr>
        <w:pStyle w:val="Обычный"/>
        <w:jc w:val="both"/>
        <w:rPr>
          <w:sz w:val="26"/>
          <w:szCs w:val="26"/>
        </w:rPr>
      </w:pPr>
    </w:p>
    <w:p>
      <w:pPr>
        <w:pStyle w:val="Обычный"/>
        <w:ind w:firstLine="709"/>
        <w:jc w:val="both"/>
        <w:rPr>
          <w:sz w:val="28"/>
          <w:szCs w:val="28"/>
        </w:rPr>
      </w:pPr>
      <w:r>
        <w:rPr>
          <w:sz w:val="28"/>
          <w:szCs w:val="28"/>
          <w:rtl w:val="0"/>
          <w:lang w:val="ru-RU"/>
        </w:rPr>
        <w:t xml:space="preserve">Проект постановления подготовлен юридическим отделом администрации Тимашевского городского поселения Тимашевского района </w:t>
      </w:r>
      <w:r>
        <w:rPr>
          <w:sz w:val="28"/>
          <w:szCs w:val="28"/>
          <w:rtl w:val="0"/>
          <w:lang w:val="ru-RU"/>
        </w:rPr>
        <w:t>(</w:t>
      </w:r>
      <w:r>
        <w:rPr>
          <w:sz w:val="28"/>
          <w:szCs w:val="28"/>
          <w:rtl w:val="0"/>
          <w:lang w:val="ru-RU"/>
        </w:rPr>
        <w:t>далее – Отдел</w:t>
      </w:r>
      <w:r>
        <w:rPr>
          <w:sz w:val="28"/>
          <w:szCs w:val="28"/>
          <w:rtl w:val="0"/>
          <w:lang w:val="ru-RU"/>
        </w:rPr>
        <w:t>).</w:t>
      </w:r>
    </w:p>
    <w:p>
      <w:pPr>
        <w:pStyle w:val="Обычный"/>
        <w:ind w:firstLine="720"/>
        <w:jc w:val="both"/>
        <w:rPr>
          <w:sz w:val="28"/>
          <w:szCs w:val="28"/>
        </w:rPr>
      </w:pPr>
      <w:r>
        <w:rPr>
          <w:outline w:val="0"/>
          <w:color w:val="000000"/>
          <w:sz w:val="28"/>
          <w:szCs w:val="28"/>
          <w:u w:color="000000"/>
          <w:rtl w:val="0"/>
          <w:lang w:val="ru-RU"/>
          <w14:textFill>
            <w14:solidFill>
              <w14:srgbClr w14:val="000000"/>
            </w14:solidFill>
          </w14:textFill>
        </w:rPr>
        <w:t xml:space="preserve">Проект постановления разработан в соответствии с </w:t>
      </w:r>
      <w:r>
        <w:rPr>
          <w:sz w:val="28"/>
          <w:szCs w:val="28"/>
          <w:rtl w:val="0"/>
          <w:lang w:val="ru-RU"/>
        </w:rPr>
        <w:t xml:space="preserve">Федеральным законом от   </w:t>
      </w:r>
      <w:r>
        <w:rPr>
          <w:sz w:val="28"/>
          <w:szCs w:val="28"/>
          <w:rtl w:val="0"/>
          <w:lang w:val="ru-RU"/>
        </w:rPr>
        <w:t xml:space="preserve">27 </w:t>
      </w:r>
      <w:r>
        <w:rPr>
          <w:sz w:val="28"/>
          <w:szCs w:val="28"/>
          <w:rtl w:val="0"/>
          <w:lang w:val="ru-RU"/>
        </w:rPr>
        <w:t xml:space="preserve">июля </w:t>
      </w:r>
      <w:r>
        <w:rPr>
          <w:sz w:val="28"/>
          <w:szCs w:val="28"/>
          <w:rtl w:val="0"/>
          <w:lang w:val="ru-RU"/>
        </w:rPr>
        <w:t xml:space="preserve">2010 </w:t>
      </w:r>
      <w:r>
        <w:rPr>
          <w:sz w:val="28"/>
          <w:szCs w:val="28"/>
          <w:rtl w:val="0"/>
          <w:lang w:val="ru-RU"/>
        </w:rPr>
        <w:t>г</w:t>
      </w:r>
      <w:r>
        <w:rPr>
          <w:sz w:val="28"/>
          <w:szCs w:val="28"/>
          <w:rtl w:val="0"/>
          <w:lang w:val="ru-RU"/>
        </w:rPr>
        <w:t xml:space="preserve">. </w:t>
      </w:r>
      <w:r>
        <w:rPr>
          <w:sz w:val="28"/>
          <w:szCs w:val="28"/>
          <w:rtl w:val="0"/>
          <w:lang w:val="ru-RU"/>
        </w:rPr>
        <w:t xml:space="preserve">№ </w:t>
      </w:r>
      <w:r>
        <w:rPr>
          <w:sz w:val="28"/>
          <w:szCs w:val="28"/>
          <w:rtl w:val="0"/>
          <w:lang w:val="ru-RU"/>
        </w:rPr>
        <w:t>210-</w:t>
      </w:r>
      <w:r>
        <w:rPr>
          <w:sz w:val="28"/>
          <w:szCs w:val="28"/>
          <w:rtl w:val="0"/>
          <w:lang w:val="ru-RU"/>
        </w:rPr>
        <w:t>ФЗ «Об организации предоставления государственных и муниципальных услуг»</w:t>
      </w:r>
      <w:r>
        <w:rPr>
          <w:sz w:val="28"/>
          <w:szCs w:val="28"/>
          <w:rtl w:val="0"/>
          <w:lang w:val="ru-RU"/>
        </w:rPr>
        <w:t>.</w:t>
      </w:r>
    </w:p>
    <w:p>
      <w:pPr>
        <w:pStyle w:val="Обычный"/>
        <w:ind w:firstLine="540"/>
        <w:jc w:val="both"/>
        <w:rPr>
          <w:sz w:val="28"/>
          <w:szCs w:val="28"/>
        </w:rPr>
      </w:pPr>
      <w:r>
        <w:rPr>
          <w:sz w:val="28"/>
          <w:szCs w:val="28"/>
          <w:rtl w:val="0"/>
          <w:lang w:val="ru-RU"/>
        </w:rPr>
        <w:t>Проект постановления был размещен на сайте администрации</w:t>
      </w:r>
      <w:r>
        <w:rPr>
          <w:sz w:val="28"/>
          <w:szCs w:val="28"/>
          <w:rtl w:val="0"/>
          <w:lang w:val="ru-RU"/>
        </w:rPr>
        <w:t xml:space="preserve"> </w:t>
      </w:r>
      <w:r>
        <w:rPr>
          <w:sz w:val="28"/>
          <w:szCs w:val="28"/>
          <w:rtl w:val="0"/>
          <w:lang w:val="ru-RU"/>
        </w:rPr>
        <w:t>Тимашевского городского поселения Тимашевского района для проведения независимой экспертизы</w:t>
      </w:r>
      <w:r>
        <w:rPr>
          <w:sz w:val="28"/>
          <w:szCs w:val="28"/>
          <w:rtl w:val="0"/>
          <w:lang w:val="ru-RU"/>
        </w:rPr>
        <w:t>.</w:t>
      </w:r>
    </w:p>
    <w:p>
      <w:pPr>
        <w:pStyle w:val="List Paragraph1"/>
        <w:spacing w:after="0" w:line="240" w:lineRule="auto"/>
        <w:ind w:left="0" w:firstLine="540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В установленный срок от независимых экспертов заключения не поступили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Обычный"/>
        <w:ind w:firstLine="540"/>
        <w:jc w:val="both"/>
        <w:rPr>
          <w:sz w:val="28"/>
          <w:szCs w:val="28"/>
        </w:rPr>
      </w:pPr>
      <w:r>
        <w:rPr>
          <w:sz w:val="28"/>
          <w:szCs w:val="28"/>
          <w:rtl w:val="0"/>
          <w:lang w:val="ru-RU"/>
        </w:rPr>
        <w:t>Проект отвечает требованиям юридической техники</w:t>
      </w:r>
      <w:r>
        <w:rPr>
          <w:sz w:val="28"/>
          <w:szCs w:val="28"/>
          <w:rtl w:val="0"/>
          <w:lang w:val="ru-RU"/>
        </w:rPr>
        <w:t xml:space="preserve">. </w:t>
      </w:r>
      <w:r>
        <w:rPr>
          <w:sz w:val="28"/>
          <w:szCs w:val="28"/>
          <w:rtl w:val="0"/>
          <w:lang w:val="ru-RU"/>
        </w:rPr>
        <w:t>Проект не содержит положений</w:t>
      </w:r>
      <w:r>
        <w:rPr>
          <w:sz w:val="28"/>
          <w:szCs w:val="28"/>
          <w:rtl w:val="0"/>
          <w:lang w:val="ru-RU"/>
        </w:rPr>
        <w:t xml:space="preserve">, </w:t>
      </w:r>
      <w:r>
        <w:rPr>
          <w:sz w:val="28"/>
          <w:szCs w:val="28"/>
          <w:rtl w:val="0"/>
          <w:lang w:val="ru-RU"/>
        </w:rPr>
        <w:t>способствующих созданию условий для проявления коррупции</w:t>
      </w:r>
      <w:r>
        <w:rPr>
          <w:sz w:val="28"/>
          <w:szCs w:val="28"/>
          <w:rtl w:val="0"/>
          <w:lang w:val="ru-RU"/>
        </w:rPr>
        <w:t>.</w:t>
      </w:r>
    </w:p>
    <w:p>
      <w:pPr>
        <w:pStyle w:val="Обычный"/>
        <w:ind w:firstLine="540"/>
        <w:jc w:val="both"/>
        <w:rPr>
          <w:sz w:val="28"/>
          <w:szCs w:val="28"/>
        </w:rPr>
      </w:pPr>
      <w:r>
        <w:rPr>
          <w:sz w:val="28"/>
          <w:szCs w:val="28"/>
          <w:rtl w:val="0"/>
          <w:lang w:val="ru-RU"/>
        </w:rPr>
        <w:t xml:space="preserve">Порядок вступления в силу постановления соответствует статье </w:t>
      </w:r>
      <w:r>
        <w:rPr>
          <w:sz w:val="28"/>
          <w:szCs w:val="28"/>
          <w:rtl w:val="0"/>
          <w:lang w:val="ru-RU"/>
        </w:rPr>
        <w:t xml:space="preserve">47 </w:t>
      </w:r>
      <w:r>
        <w:rPr>
          <w:sz w:val="28"/>
          <w:szCs w:val="28"/>
          <w:rtl w:val="0"/>
          <w:lang w:val="ru-RU"/>
        </w:rPr>
        <w:t xml:space="preserve">Федерального закона от </w:t>
      </w:r>
      <w:r>
        <w:rPr>
          <w:sz w:val="28"/>
          <w:szCs w:val="28"/>
          <w:rtl w:val="0"/>
          <w:lang w:val="ru-RU"/>
        </w:rPr>
        <w:t xml:space="preserve">06.10.2003 </w:t>
      </w:r>
      <w:r>
        <w:rPr>
          <w:sz w:val="28"/>
          <w:szCs w:val="28"/>
          <w:rtl w:val="0"/>
          <w:lang w:val="ru-RU"/>
        </w:rPr>
        <w:t>№</w:t>
      </w:r>
      <w:r>
        <w:rPr>
          <w:sz w:val="28"/>
          <w:szCs w:val="28"/>
          <w:rtl w:val="0"/>
          <w:lang w:val="ru-RU"/>
        </w:rPr>
        <w:t>131-</w:t>
      </w:r>
      <w:r>
        <w:rPr>
          <w:sz w:val="28"/>
          <w:szCs w:val="28"/>
          <w:rtl w:val="0"/>
          <w:lang w:val="ru-RU"/>
        </w:rPr>
        <w:t>ФЗ «Об общих принципах организации местного самоуправления в Российской Федерации»</w:t>
      </w:r>
      <w:r>
        <w:rPr>
          <w:sz w:val="28"/>
          <w:szCs w:val="28"/>
          <w:rtl w:val="0"/>
          <w:lang w:val="ru-RU"/>
        </w:rPr>
        <w:t>.</w:t>
      </w:r>
    </w:p>
    <w:p>
      <w:pPr>
        <w:pStyle w:val="Обычный"/>
        <w:jc w:val="both"/>
        <w:rPr>
          <w:sz w:val="26"/>
          <w:szCs w:val="26"/>
        </w:rPr>
      </w:pPr>
    </w:p>
    <w:p>
      <w:pPr>
        <w:pStyle w:val="Обычный"/>
        <w:jc w:val="both"/>
        <w:rPr>
          <w:sz w:val="28"/>
          <w:szCs w:val="28"/>
        </w:rPr>
      </w:pPr>
      <w:r>
        <w:rPr>
          <w:sz w:val="28"/>
          <w:szCs w:val="28"/>
          <w:rtl w:val="0"/>
          <w:lang w:val="ru-RU"/>
        </w:rPr>
        <w:t>Начальник юридического отдела</w:t>
      </w:r>
    </w:p>
    <w:p>
      <w:pPr>
        <w:pStyle w:val="Обычный"/>
        <w:jc w:val="both"/>
        <w:rPr>
          <w:sz w:val="28"/>
          <w:szCs w:val="28"/>
        </w:rPr>
      </w:pPr>
      <w:r>
        <w:rPr>
          <w:sz w:val="28"/>
          <w:szCs w:val="28"/>
          <w:rtl w:val="0"/>
          <w:lang w:val="ru-RU"/>
        </w:rPr>
        <w:t>администрации Тимашевского</w:t>
      </w:r>
    </w:p>
    <w:p>
      <w:pPr>
        <w:pStyle w:val="Обычный"/>
        <w:jc w:val="both"/>
        <w:rPr>
          <w:sz w:val="28"/>
          <w:szCs w:val="28"/>
        </w:rPr>
      </w:pPr>
      <w:r>
        <w:rPr>
          <w:sz w:val="28"/>
          <w:szCs w:val="28"/>
          <w:rtl w:val="0"/>
          <w:lang w:val="ru-RU"/>
        </w:rPr>
        <w:t>городского поселения Тимашевского района                                                Ю</w:t>
      </w:r>
      <w:r>
        <w:rPr>
          <w:sz w:val="28"/>
          <w:szCs w:val="28"/>
          <w:rtl w:val="0"/>
          <w:lang w:val="ru-RU"/>
        </w:rPr>
        <w:t>.</w:t>
      </w:r>
      <w:r>
        <w:rPr>
          <w:sz w:val="28"/>
          <w:szCs w:val="28"/>
          <w:rtl w:val="0"/>
          <w:lang w:val="ru-RU"/>
        </w:rPr>
        <w:t>Ю</w:t>
      </w:r>
      <w:r>
        <w:rPr>
          <w:sz w:val="28"/>
          <w:szCs w:val="28"/>
          <w:rtl w:val="0"/>
          <w:lang w:val="ru-RU"/>
        </w:rPr>
        <w:t xml:space="preserve">. </w:t>
      </w:r>
      <w:r>
        <w:rPr>
          <w:sz w:val="28"/>
          <w:szCs w:val="28"/>
          <w:rtl w:val="0"/>
          <w:lang w:val="ru-RU"/>
        </w:rPr>
        <w:t>Кроква</w:t>
      </w:r>
    </w:p>
    <w:p>
      <w:pPr>
        <w:pStyle w:val="Обычный"/>
        <w:tabs>
          <w:tab w:val="left" w:pos="8892"/>
        </w:tabs>
        <w:jc w:val="both"/>
      </w:pPr>
      <w:r>
        <w:rPr>
          <w:sz w:val="28"/>
          <w:szCs w:val="28"/>
          <w:rtl w:val="0"/>
          <w:lang w:val="ru-RU"/>
        </w:rPr>
        <w:t xml:space="preserve">                                                                                                                   </w:t>
        <w:tab/>
      </w:r>
      <w:r>
        <w:rPr>
          <w:sz w:val="28"/>
          <w:szCs w:val="28"/>
          <w:rtl w:val="0"/>
          <w:lang w:val="ru-RU"/>
        </w:rPr>
        <w:t>25</w:t>
      </w:r>
      <w:r>
        <w:rPr>
          <w:sz w:val="28"/>
          <w:szCs w:val="28"/>
          <w:rtl w:val="0"/>
          <w:lang w:val="ru-RU"/>
        </w:rPr>
        <w:t>.</w:t>
      </w:r>
      <w:r>
        <w:rPr>
          <w:sz w:val="28"/>
          <w:szCs w:val="28"/>
          <w:rtl w:val="0"/>
          <w:lang w:val="ru-RU"/>
        </w:rPr>
        <w:t>01</w:t>
      </w:r>
      <w:r>
        <w:rPr>
          <w:sz w:val="28"/>
          <w:szCs w:val="28"/>
          <w:rtl w:val="0"/>
          <w:lang w:val="ru-RU"/>
        </w:rPr>
        <w:t>.202</w:t>
      </w:r>
      <w:r>
        <w:rPr>
          <w:sz w:val="28"/>
          <w:szCs w:val="28"/>
          <w:rtl w:val="0"/>
          <w:lang w:val="ru-RU"/>
        </w:rPr>
        <w:t>2</w:t>
      </w:r>
    </w:p>
    <w:sectPr>
      <w:headerReference w:type="default" r:id="rId4"/>
      <w:footerReference w:type="default" r:id="rId5"/>
      <w:pgSz w:w="11900" w:h="16840" w:orient="portrait"/>
      <w:pgMar w:top="1134" w:right="567" w:bottom="1134" w:left="900" w:header="709" w:footer="709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Courier New">
    <w:charset w:val="00"/>
    <w:family w:val="roman"/>
    <w:pitch w:val="default"/>
  </w:font>
  <w:font w:name="Calibri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Верхн./нижн. кол.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Верхн./нижн. кол.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08"/>
  <w:autoHyphenation w:val="0"/>
  <w:evenAndOddHeaders w:val="0"/>
  <w:bookFoldPrinting w:val="0"/>
  <w:noLineBreaksAfter w:lang="русский" w:val="‘“(〔[{〈《「『【⦅〘〖«〝︵︷︹︻︽︿﹁﹃﹇﹙﹛﹝｢"/>
  <w:noLineBreaksBefore w:lang="русский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Верхн./нижн. кол.">
    <w:name w:val="Верхн./нижн. кол."/>
    <w:next w:val="Верхн./нижн. кол.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8"/>
      <w:szCs w:val="28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onsPlusNonformat">
    <w:name w:val="ConsPlusNonformat"/>
    <w:next w:val="ConsPlusNonformat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Courier New" w:cs="Arial Unicode MS" w:hAnsi="Courier New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  <w:style w:type="paragraph" w:styleId="Default">
    <w:name w:val="Default"/>
    <w:next w:val="Default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Arial" w:cs="Arial Unicode MS" w:hAnsi="Arial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  <w:style w:type="paragraph" w:styleId="Обычный">
    <w:name w:val="Обычный"/>
    <w:next w:val="Обычный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Times New Roman" w:hAnsi="Times New Roman" w:eastAsia="Times New Roman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  <w:style w:type="paragraph" w:styleId="List Paragraph1">
    <w:name w:val="List Paragraph1"/>
    <w:next w:val="List Paragraph1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200" w:line="276" w:lineRule="auto"/>
      <w:ind w:left="720" w:right="0" w:firstLine="0"/>
      <w:jc w:val="left"/>
      <w:outlineLvl w:val="9"/>
    </w:pPr>
    <w:rPr>
      <w:rFonts w:ascii="Calibri" w:cs="Arial Unicode MS" w:hAnsi="Calibri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Times New Roman"/>
        <a:ea typeface="Times New Roman"/>
        <a:cs typeface="Times New Roman"/>
      </a:majorFont>
      <a:minorFont>
        <a:latin typeface="Times New Roman"/>
        <a:ea typeface="Times New Roman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