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26" w:rsidRPr="00C67DE9" w:rsidRDefault="00FB5AA5" w:rsidP="00FB5AA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E9">
        <w:rPr>
          <w:rFonts w:ascii="Times New Roman" w:hAnsi="Times New Roman" w:cs="Times New Roman"/>
          <w:b/>
          <w:sz w:val="24"/>
          <w:szCs w:val="24"/>
        </w:rPr>
        <w:t xml:space="preserve">Анализ диагностического исследования </w:t>
      </w:r>
    </w:p>
    <w:p w:rsidR="00D54C66" w:rsidRPr="00C67DE9" w:rsidRDefault="00FB5AA5" w:rsidP="00FB5AA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E9">
        <w:rPr>
          <w:rFonts w:ascii="Times New Roman" w:hAnsi="Times New Roman" w:cs="Times New Roman"/>
          <w:b/>
          <w:sz w:val="24"/>
          <w:szCs w:val="24"/>
        </w:rPr>
        <w:t>«</w:t>
      </w:r>
      <w:r w:rsidR="003D0326" w:rsidRPr="00C67DE9">
        <w:rPr>
          <w:rFonts w:ascii="Times New Roman" w:hAnsi="Times New Roman" w:cs="Times New Roman"/>
          <w:b/>
          <w:sz w:val="24"/>
          <w:szCs w:val="24"/>
        </w:rPr>
        <w:t>Уровень</w:t>
      </w:r>
      <w:r w:rsidRPr="00C67DE9">
        <w:rPr>
          <w:rFonts w:ascii="Times New Roman" w:hAnsi="Times New Roman" w:cs="Times New Roman"/>
          <w:b/>
          <w:sz w:val="24"/>
          <w:szCs w:val="24"/>
        </w:rPr>
        <w:t xml:space="preserve"> толерантности студентов ХАТ»</w:t>
      </w:r>
    </w:p>
    <w:p w:rsidR="00FB5AA5" w:rsidRPr="00C67DE9" w:rsidRDefault="00FB5AA5" w:rsidP="00FB5AA5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Термин «толерантность» пришел к нам из науки социология. Социология изучает общественный строй, закономерности событий, обычаев общества, социальные институты и то, как складываются отношения между людьми в обществе. </w:t>
      </w:r>
    </w:p>
    <w:p w:rsidR="00FB5AA5" w:rsidRPr="00C67DE9" w:rsidRDefault="00FB5AA5" w:rsidP="00FB5AA5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>Толерантность - это терпимость к чужому: чужому мнению, религии, обычаям, другим людям, общественным явлениям. Быть толерантным, не значит быть равнодушным и безразличным. Толерантность предполагает наличие собственного мнения, позиции по разным вопросам. Здесь важно, что это мнение не навязывается, не насаждается насильно.</w:t>
      </w:r>
    </w:p>
    <w:p w:rsidR="00FB5AA5" w:rsidRPr="00C67DE9" w:rsidRDefault="00FB5AA5" w:rsidP="00FB5AA5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16 ноября </w:t>
      </w:r>
      <w:r w:rsidR="001A500D" w:rsidRPr="00C67DE9">
        <w:rPr>
          <w:rFonts w:ascii="Times New Roman" w:eastAsia="Times New Roman" w:hAnsi="Times New Roman" w:cs="Times New Roman"/>
          <w:sz w:val="24"/>
          <w:szCs w:val="24"/>
        </w:rPr>
        <w:t>- Международный день толерантности. История данного события начинается с Декларации принципов терпимости, которая была утверждена в 1995 году ЮНЕСКО. В России данное событие отмечается в 2006 года.</w:t>
      </w:r>
    </w:p>
    <w:p w:rsidR="001A500D" w:rsidRPr="00C67DE9" w:rsidRDefault="001A500D" w:rsidP="00FB5AA5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>В рамках подготовки к этому дню, студенты группы ДО-914 (специализация «Дошкольное образование») провели диагностическое исследование, цель которого, оценить уровень толерантности сту</w:t>
      </w:r>
      <w:r w:rsidR="003D0326" w:rsidRPr="00C67DE9">
        <w:rPr>
          <w:rFonts w:ascii="Times New Roman" w:eastAsia="Times New Roman" w:hAnsi="Times New Roman" w:cs="Times New Roman"/>
          <w:sz w:val="24"/>
          <w:szCs w:val="24"/>
        </w:rPr>
        <w:t>дентов техникума. В исследование</w:t>
      </w: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 участвовали 17 групп – 240 человек. Помимо диагностики, студентам было предложено ответить на вопрос «Считают ли они себя толерантным человеком?». </w:t>
      </w:r>
    </w:p>
    <w:p w:rsidR="007A6B1D" w:rsidRPr="00C67DE9" w:rsidRDefault="003D0326" w:rsidP="00FB5AA5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представляем </w:t>
      </w:r>
      <w:r w:rsidR="00AE0066" w:rsidRPr="00C67DE9">
        <w:rPr>
          <w:rFonts w:ascii="Times New Roman" w:eastAsia="Times New Roman" w:hAnsi="Times New Roman" w:cs="Times New Roman"/>
          <w:sz w:val="24"/>
          <w:szCs w:val="24"/>
        </w:rPr>
        <w:t xml:space="preserve">на рисунках 1 и 2. </w:t>
      </w:r>
    </w:p>
    <w:p w:rsidR="00AE0066" w:rsidRPr="00AE0066" w:rsidRDefault="0032684B" w:rsidP="00AE0066">
      <w:pPr>
        <w:shd w:val="clear" w:color="auto" w:fill="FFFFFF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0336" cy="2854849"/>
            <wp:effectExtent l="228600" t="190500" r="220814" b="17410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A6B1D" w:rsidRPr="00C67DE9" w:rsidRDefault="00AE0066" w:rsidP="00AE0066">
      <w:pPr>
        <w:shd w:val="clear" w:color="auto" w:fill="FFFFFF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>Рис. 1. Индекс толерантности студентов техникума (в баллах)</w:t>
      </w:r>
    </w:p>
    <w:p w:rsidR="00C67DE9" w:rsidRPr="00C67DE9" w:rsidRDefault="00C67DE9" w:rsidP="00C67DE9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При диагностическом исследовании все группы техникума показали индекс толерантности выше среднего (87 баллов). Такие результаты говорят о том, что для студентов нашего техникума характерно сочетание как толерантных, так и </w:t>
      </w:r>
      <w:proofErr w:type="spellStart"/>
      <w:r w:rsidRPr="00C67DE9">
        <w:rPr>
          <w:rFonts w:ascii="Times New Roman" w:eastAsia="Times New Roman" w:hAnsi="Times New Roman" w:cs="Times New Roman"/>
          <w:sz w:val="24"/>
          <w:szCs w:val="24"/>
        </w:rPr>
        <w:t>интолерантных</w:t>
      </w:r>
      <w:proofErr w:type="spellEnd"/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 черт. В одних социальных ситуациях они могут проявить толерантность, в других нет.</w:t>
      </w:r>
    </w:p>
    <w:p w:rsidR="00C67DE9" w:rsidRDefault="00C67DE9" w:rsidP="00C67DE9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Для большинства респондентов характерна этническая толерантность, которая выявляет отношение человека к представителям других этнических групп и установки в сфере межкультурного взаимодействия. Наши студенты, в основном, не склонны </w:t>
      </w:r>
      <w:r w:rsidRPr="00C67D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обращать внимание на национальность, цвет кожи другого человека и охотно дружили бы с людьми других национальностей. </w:t>
      </w:r>
    </w:p>
    <w:p w:rsidR="0009151E" w:rsidRPr="0009151E" w:rsidRDefault="0009151E" w:rsidP="00C67DE9">
      <w:pPr>
        <w:shd w:val="clear" w:color="auto" w:fill="FFFFFF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09151E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228600" t="190500" r="228600" b="17145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151E" w:rsidRPr="00C67DE9" w:rsidRDefault="0009151E" w:rsidP="0009151E">
      <w:pPr>
        <w:shd w:val="clear" w:color="auto" w:fill="FFFFFF"/>
        <w:spacing w:after="0" w:line="30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>Рис. 2. Самооценка студентов</w:t>
      </w:r>
      <w:proofErr w:type="gramStart"/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 (%)</w:t>
      </w:r>
      <w:proofErr w:type="gramEnd"/>
    </w:p>
    <w:p w:rsidR="0009151E" w:rsidRPr="00C67DE9" w:rsidRDefault="00856CC9" w:rsidP="00AE0066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>Далее следует толерантность, к</w:t>
      </w:r>
      <w:r w:rsidR="0009151E" w:rsidRPr="00C67DE9">
        <w:rPr>
          <w:rFonts w:ascii="Times New Roman" w:eastAsia="Times New Roman" w:hAnsi="Times New Roman" w:cs="Times New Roman"/>
          <w:sz w:val="24"/>
          <w:szCs w:val="24"/>
        </w:rPr>
        <w:t xml:space="preserve">ак черта личности, которая диагностирует личностные черты, установки и убеждения, которые в значительной степени определяют отношение человека к окружающему миру. </w:t>
      </w:r>
      <w:r w:rsidRPr="00C67DE9">
        <w:rPr>
          <w:rFonts w:ascii="Times New Roman" w:eastAsia="Times New Roman" w:hAnsi="Times New Roman" w:cs="Times New Roman"/>
          <w:sz w:val="24"/>
          <w:szCs w:val="24"/>
        </w:rPr>
        <w:t>Студенты согласны, что в спорах может быть правильной не одна точка зрения, готовы выслушивать другие мнения, и их не раздражает человек, который думает по-другому. В то же время респонденты считают, что если кто-то грубит, они ответят агрессией</w:t>
      </w:r>
      <w:r w:rsidR="00697EF9">
        <w:rPr>
          <w:rFonts w:ascii="Times New Roman" w:eastAsia="Times New Roman" w:hAnsi="Times New Roman" w:cs="Times New Roman"/>
          <w:sz w:val="24"/>
          <w:szCs w:val="24"/>
        </w:rPr>
        <w:t>, беспорядок и хаос являю</w:t>
      </w: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C67DE9" w:rsidRPr="00C67DE9">
        <w:rPr>
          <w:rFonts w:ascii="Times New Roman" w:eastAsia="Times New Roman" w:hAnsi="Times New Roman" w:cs="Times New Roman"/>
          <w:sz w:val="24"/>
          <w:szCs w:val="24"/>
        </w:rPr>
        <w:t>небезопасным</w:t>
      </w: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 фактором.</w:t>
      </w:r>
    </w:p>
    <w:p w:rsidR="0009151E" w:rsidRPr="00C67DE9" w:rsidRDefault="00856CC9" w:rsidP="00AE0066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>Уровень социальной толерантности</w:t>
      </w:r>
      <w:r w:rsidR="0009151E" w:rsidRPr="00C67DE9">
        <w:rPr>
          <w:rFonts w:ascii="Times New Roman" w:eastAsia="Times New Roman" w:hAnsi="Times New Roman" w:cs="Times New Roman"/>
          <w:sz w:val="24"/>
          <w:szCs w:val="24"/>
        </w:rPr>
        <w:t xml:space="preserve">, который позволяет исследовать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процессам, в нашем случае оказался на третьем месте. С одной стороны, студенты считают, что в СМИ может быть представлено любое мнение и любые религиозные течения имеют право на существование. </w:t>
      </w:r>
      <w:proofErr w:type="gramStart"/>
      <w:r w:rsidR="0009151E" w:rsidRPr="00C67DE9">
        <w:rPr>
          <w:rFonts w:ascii="Times New Roman" w:eastAsia="Times New Roman" w:hAnsi="Times New Roman" w:cs="Times New Roman"/>
          <w:sz w:val="24"/>
          <w:szCs w:val="24"/>
        </w:rPr>
        <w:t>С другой стороны, не готовы быть терпимыми к нищим, бродягам, психически больным людям.</w:t>
      </w:r>
      <w:proofErr w:type="gramEnd"/>
      <w:r w:rsidR="0009151E" w:rsidRPr="00C67DE9">
        <w:rPr>
          <w:rFonts w:ascii="Times New Roman" w:eastAsia="Times New Roman" w:hAnsi="Times New Roman" w:cs="Times New Roman"/>
          <w:sz w:val="24"/>
          <w:szCs w:val="24"/>
        </w:rPr>
        <w:t xml:space="preserve"> Считают, что другим странам и беженцам надо помогать не больше, чем местным, так как в стране своих проблем много. </w:t>
      </w:r>
    </w:p>
    <w:p w:rsidR="00C67DE9" w:rsidRPr="00C67DE9" w:rsidRDefault="00C67DE9" w:rsidP="00AE0066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7DE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считают себя толерантными людьми – 74% (176 чел.) респондентов. 15% (37 чел.) считают, что они не толерантны, или не всегда поступают толерантно. 11% (27 чел.) затруднились ответить на этот вопрос. </w:t>
      </w:r>
    </w:p>
    <w:sectPr w:rsidR="00C67DE9" w:rsidRPr="00C67DE9" w:rsidSect="00D5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5AA5"/>
    <w:rsid w:val="0009151E"/>
    <w:rsid w:val="001A500D"/>
    <w:rsid w:val="0032684B"/>
    <w:rsid w:val="003D0326"/>
    <w:rsid w:val="00697EF9"/>
    <w:rsid w:val="007A6B1D"/>
    <w:rsid w:val="00856CC9"/>
    <w:rsid w:val="00AE0066"/>
    <w:rsid w:val="00C67DE9"/>
    <w:rsid w:val="00D54C66"/>
    <w:rsid w:val="00FB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A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Индекс толерантности  студентов техникума </a:t>
            </a:r>
          </a:p>
        </c:rich>
      </c:tx>
      <c:layout>
        <c:manualLayout>
          <c:xMode val="edge"/>
          <c:yMode val="edge"/>
          <c:x val="0.16429972295129774"/>
          <c:y val="2.3809523809523812E-2"/>
        </c:manualLayout>
      </c:layout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>
              <a:gsLst>
                <a:gs pos="0">
                  <a:srgbClr val="3399FF"/>
                </a:gs>
                <a:gs pos="16000">
                  <a:srgbClr val="00CCCC"/>
                </a:gs>
                <a:gs pos="47000">
                  <a:srgbClr val="9999FF"/>
                </a:gs>
                <a:gs pos="60001">
                  <a:srgbClr val="2E6792"/>
                </a:gs>
                <a:gs pos="71001">
                  <a:srgbClr val="3333CC"/>
                </a:gs>
                <a:gs pos="81000">
                  <a:srgbClr val="1170FF"/>
                </a:gs>
                <a:gs pos="100000">
                  <a:srgbClr val="006699"/>
                </a:gs>
              </a:gsLst>
              <a:lin ang="5400000" scaled="0"/>
            </a:gradFill>
          </c:spPr>
          <c:dLbls>
            <c:dLbl>
              <c:idx val="0"/>
              <c:layout>
                <c:manualLayout>
                  <c:x val="-0.16666666666666666"/>
                  <c:y val="-1.1904761904761906E-2"/>
                </c:manualLayout>
              </c:layout>
              <c:showVal val="1"/>
            </c:dLbl>
            <c:dLbl>
              <c:idx val="1"/>
              <c:layout>
                <c:manualLayout>
                  <c:x val="-0.16666666666666666"/>
                  <c:y val="-7.9365079365079378E-3"/>
                </c:manualLayout>
              </c:layout>
              <c:showVal val="1"/>
            </c:dLbl>
            <c:dLbl>
              <c:idx val="2"/>
              <c:layout>
                <c:manualLayout>
                  <c:x val="-0.15277777777777779"/>
                  <c:y val="-3.9682539682539689E-3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3 - 4 курс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85</c:v>
                </c:pt>
                <c:pt idx="2">
                  <c:v>83</c:v>
                </c:pt>
              </c:numCache>
            </c:numRef>
          </c:val>
        </c:ser>
        <c:shape val="box"/>
        <c:axId val="104121088"/>
        <c:axId val="104123392"/>
        <c:axId val="0"/>
      </c:bar3DChart>
      <c:catAx>
        <c:axId val="104121088"/>
        <c:scaling>
          <c:orientation val="minMax"/>
        </c:scaling>
        <c:axPos val="l"/>
        <c:tickLblPos val="nextTo"/>
        <c:txPr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123392"/>
        <c:crosses val="autoZero"/>
        <c:auto val="1"/>
        <c:lblAlgn val="ctr"/>
        <c:lblOffset val="100"/>
      </c:catAx>
      <c:valAx>
        <c:axId val="104123392"/>
        <c:scaling>
          <c:orientation val="minMax"/>
        </c:scaling>
        <c:delete val="1"/>
        <c:axPos val="b"/>
        <c:majorGridlines/>
        <c:numFmt formatCode="General" sourceLinked="1"/>
        <c:tickLblPos val="nextTo"/>
        <c:crossAx val="104121088"/>
        <c:crosses val="autoZero"/>
        <c:crossBetween val="between"/>
      </c:valAx>
    </c:plotArea>
    <c:plotVisOnly val="1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l="50000" t="50000" r="50000" b="50000"/>
      </a:path>
      <a:tileRect/>
    </a:gradFill>
    <a:effectLst>
      <a:glow rad="228600">
        <a:schemeClr val="accent1">
          <a:satMod val="175000"/>
          <a:alpha val="40000"/>
        </a:schemeClr>
      </a:glow>
    </a:effectLst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Самооценка</a:t>
            </a:r>
            <a:r>
              <a:rPr lang="ru-RU" sz="1400" baseline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 студентов (%)</a:t>
            </a:r>
            <a:endParaRPr lang="ru-RU" sz="1400">
              <a:solidFill>
                <a:srgbClr val="00206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>
              <a:gsLst>
                <a:gs pos="0">
                  <a:srgbClr val="3399FF"/>
                </a:gs>
                <a:gs pos="16000">
                  <a:srgbClr val="00CCCC"/>
                </a:gs>
                <a:gs pos="47000">
                  <a:srgbClr val="9999FF"/>
                </a:gs>
                <a:gs pos="60001">
                  <a:srgbClr val="2E6792"/>
                </a:gs>
                <a:gs pos="71001">
                  <a:srgbClr val="3333CC"/>
                </a:gs>
                <a:gs pos="81000">
                  <a:srgbClr val="1170FF"/>
                </a:gs>
                <a:gs pos="100000">
                  <a:srgbClr val="006699"/>
                </a:gs>
              </a:gsLst>
              <a:lin ang="5400000" scaled="0"/>
            </a:gradFill>
          </c:spPr>
          <c:explosion val="25"/>
          <c:dPt>
            <c:idx val="1"/>
            <c:spPr>
              <a:gradFill>
                <a:gsLst>
                  <a:gs pos="0">
                    <a:srgbClr val="FC9FCB"/>
                  </a:gs>
                  <a:gs pos="13000">
                    <a:srgbClr val="F8B049"/>
                  </a:gs>
                  <a:gs pos="21001">
                    <a:srgbClr val="F8B049"/>
                  </a:gs>
                  <a:gs pos="63000">
                    <a:srgbClr val="FEE7F2"/>
                  </a:gs>
                  <a:gs pos="67000">
                    <a:srgbClr val="F952A0"/>
                  </a:gs>
                  <a:gs pos="69000">
                    <a:srgbClr val="C50849"/>
                  </a:gs>
                  <a:gs pos="82001">
                    <a:srgbClr val="B43E85"/>
                  </a:gs>
                  <a:gs pos="100000">
                    <a:srgbClr val="F8B049"/>
                  </a:gs>
                </a:gsLst>
                <a:lin ang="5400000" scaled="0"/>
              </a:gradFill>
            </c:spPr>
          </c:dPt>
          <c:dPt>
            <c:idx val="2"/>
            <c:spPr>
              <a:gradFill>
                <a:gsLst>
                  <a:gs pos="0">
                    <a:srgbClr val="CCCCFF"/>
                  </a:gs>
                  <a:gs pos="17999">
                    <a:srgbClr val="99CCFF"/>
                  </a:gs>
                  <a:gs pos="36000">
                    <a:srgbClr val="9966FF"/>
                  </a:gs>
                  <a:gs pos="61000">
                    <a:srgbClr val="CC99FF"/>
                  </a:gs>
                  <a:gs pos="82001">
                    <a:srgbClr val="99CCFF"/>
                  </a:gs>
                  <a:gs pos="100000">
                    <a:srgbClr val="CCCCFF"/>
                  </a:gs>
                </a:gsLst>
                <a:lin ang="5400000" scaled="0"/>
              </a:gra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74</a:t>
                    </a:r>
                    <a:r>
                      <a:rPr lang="ru-RU" sz="10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% считают себя толерантными </a:t>
                    </a:r>
                    <a:endParaRPr lang="en-US" sz="1000" b="1">
                      <a:solidFill>
                        <a:srgbClr val="00206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15</a:t>
                    </a:r>
                    <a:r>
                      <a:rPr lang="ru-RU" sz="10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% считают себя интолерантными </a:t>
                    </a:r>
                    <a:endParaRPr lang="en-US" sz="1000" b="1">
                      <a:solidFill>
                        <a:srgbClr val="00206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11</a:t>
                    </a:r>
                    <a:r>
                      <a:rPr lang="ru-RU" sz="10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% затруднились ответить </a:t>
                    </a:r>
                    <a:endParaRPr lang="en-US" sz="1000" b="1">
                      <a:solidFill>
                        <a:srgbClr val="00206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pPr>
              <a:gradFill>
                <a:gsLst>
                  <a:gs pos="0">
                    <a:srgbClr val="5E9EFF"/>
                  </a:gs>
                  <a:gs pos="39999">
                    <a:srgbClr val="85C2FF"/>
                  </a:gs>
                  <a:gs pos="70000">
                    <a:srgbClr val="C4D6EB"/>
                  </a:gs>
                  <a:gs pos="100000">
                    <a:srgbClr val="FFEBFA"/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sz="1000" b="1">
                    <a:solidFill>
                      <a:srgbClr val="00206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Считают себя толерантными</c:v>
                </c:pt>
                <c:pt idx="1">
                  <c:v>Считают себя интолерантными </c:v>
                </c:pt>
                <c:pt idx="2">
                  <c:v>Затруднились ответить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74</c:v>
                </c:pt>
                <c:pt idx="1">
                  <c:v>15</c:v>
                </c:pt>
                <c:pt idx="2">
                  <c:v>11</c:v>
                </c:pt>
              </c:numCache>
            </c:numRef>
          </c:val>
        </c:ser>
      </c:pie3DChart>
    </c:plotArea>
    <c:plotVisOnly val="1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l="50000" t="50000" r="50000" b="50000"/>
      </a:path>
      <a:tileRect/>
    </a:gradFill>
    <a:effectLst>
      <a:glow rad="228600">
        <a:schemeClr val="accent1">
          <a:satMod val="175000"/>
          <a:alpha val="40000"/>
        </a:schemeClr>
      </a:glow>
    </a:effectLst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2019-11-11T23:58:00Z</dcterms:created>
  <dcterms:modified xsi:type="dcterms:W3CDTF">2019-11-12T07:21:00Z</dcterms:modified>
</cp:coreProperties>
</file>