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A5A5B" w:rsidRDefault="009B229D" w:rsidP="009A5A5B">
      <w:pPr>
        <w:spacing w:after="0" w:line="276" w:lineRule="auto"/>
        <w:jc w:val="right"/>
        <w:rPr>
          <w:rFonts w:ascii="Times New Roman" w:hAnsi="Times New Roman" w:cs="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 xml:space="preserve">по </w:t>
      </w:r>
      <w:r w:rsidR="009A5A5B">
        <w:rPr>
          <w:rFonts w:ascii="Times New Roman" w:hAnsi="Times New Roman" w:cs="Times New Roman"/>
          <w:sz w:val="24"/>
          <w:szCs w:val="24"/>
        </w:rPr>
        <w:t>специальности</w:t>
      </w:r>
    </w:p>
    <w:p w:rsidR="009874B2" w:rsidRDefault="009874B2" w:rsidP="009874B2">
      <w:pPr>
        <w:spacing w:after="0" w:line="276" w:lineRule="auto"/>
        <w:jc w:val="right"/>
        <w:rPr>
          <w:rFonts w:ascii="Times New Roman" w:eastAsia="Calibri" w:hAnsi="Times New Roman" w:cs="Calibri"/>
          <w:bCs/>
          <w:color w:val="000000"/>
          <w:sz w:val="24"/>
          <w:szCs w:val="24"/>
        </w:rPr>
      </w:pPr>
      <w:r w:rsidRPr="00301422">
        <w:rPr>
          <w:rFonts w:ascii="Times New Roman" w:eastAsia="Calibri" w:hAnsi="Times New Roman" w:cs="Calibri"/>
          <w:bCs/>
          <w:color w:val="000000"/>
          <w:sz w:val="24"/>
          <w:szCs w:val="24"/>
        </w:rPr>
        <w:t xml:space="preserve">23.02.07 Техническое обслуживание и ремонт двигателей, </w:t>
      </w:r>
    </w:p>
    <w:p w:rsidR="009874B2" w:rsidRPr="00CC50C5" w:rsidRDefault="009874B2" w:rsidP="009874B2">
      <w:pPr>
        <w:spacing w:after="0" w:line="276" w:lineRule="auto"/>
        <w:jc w:val="right"/>
        <w:rPr>
          <w:rFonts w:ascii="Times New Roman" w:eastAsia="Times New Roman" w:hAnsi="Times New Roman" w:cs="Times New Roman"/>
          <w:sz w:val="24"/>
          <w:szCs w:val="24"/>
          <w:lang w:eastAsia="ru-RU"/>
        </w:rPr>
      </w:pPr>
      <w:r w:rsidRPr="00301422">
        <w:rPr>
          <w:rFonts w:ascii="Times New Roman" w:eastAsia="Calibri" w:hAnsi="Times New Roman" w:cs="Calibri"/>
          <w:bCs/>
          <w:color w:val="000000"/>
          <w:sz w:val="24"/>
          <w:szCs w:val="24"/>
        </w:rPr>
        <w:t>систем и агрегатов автомобилей</w:t>
      </w:r>
    </w:p>
    <w:p w:rsidR="00517057" w:rsidRDefault="00517057" w:rsidP="009A5A5B">
      <w:pPr>
        <w:spacing w:after="0"/>
        <w:jc w:val="right"/>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9874B2">
        <w:rPr>
          <w:rFonts w:ascii="Times New Roman" w:eastAsia="Times New Roman" w:hAnsi="Times New Roman" w:cs="Times New Roman"/>
          <w:color w:val="000000"/>
          <w:sz w:val="24"/>
          <w:szCs w:val="24"/>
          <w:lang w:eastAsia="ru-RU"/>
        </w:rPr>
        <w:t>технологический</w:t>
      </w:r>
    </w:p>
    <w:p w:rsidR="00183765" w:rsidRDefault="00183765" w:rsidP="00BE09AC">
      <w:pPr>
        <w:rPr>
          <w:rFonts w:ascii="Times New Roman" w:eastAsia="Times New Roman" w:hAnsi="Times New Roman" w:cs="Times New Roman"/>
          <w:color w:val="000000"/>
          <w:sz w:val="24"/>
          <w:szCs w:val="24"/>
          <w:lang w:eastAsia="ru-RU"/>
        </w:rPr>
      </w:pPr>
    </w:p>
    <w:p w:rsidR="009874B2" w:rsidRPr="00CC50C5" w:rsidRDefault="009A5A5B" w:rsidP="009874B2">
      <w:pPr>
        <w:spacing w:after="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Специальность: </w:t>
      </w:r>
      <w:r w:rsidR="009874B2" w:rsidRPr="00301422">
        <w:rPr>
          <w:rFonts w:ascii="Times New Roman" w:eastAsia="Calibri" w:hAnsi="Times New Roman" w:cs="Calibri"/>
          <w:bCs/>
          <w:color w:val="000000"/>
          <w:sz w:val="24"/>
          <w:szCs w:val="24"/>
        </w:rPr>
        <w:t>23.02.07 Техническое обслуживание и ремонт двигателей, систем и агрегатов автомобилей</w:t>
      </w: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A5A5B" w:rsidRDefault="00BE09AC" w:rsidP="00B33368">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9A5A5B">
        <w:rPr>
          <w:rFonts w:ascii="Times New Roman" w:hAnsi="Times New Roman" w:cs="Times New Roman"/>
          <w:sz w:val="24"/>
          <w:szCs w:val="24"/>
        </w:rPr>
        <w:t>специальности</w:t>
      </w:r>
      <w:r>
        <w:rPr>
          <w:rFonts w:ascii="Times New Roman" w:hAnsi="Times New Roman" w:cs="Times New Roman"/>
          <w:sz w:val="24"/>
          <w:szCs w:val="24"/>
        </w:rPr>
        <w:t xml:space="preserve"> </w:t>
      </w:r>
      <w:r w:rsidR="009874B2" w:rsidRPr="00301422">
        <w:rPr>
          <w:rFonts w:ascii="Times New Roman" w:eastAsia="Calibri" w:hAnsi="Times New Roman" w:cs="Calibri"/>
          <w:bCs/>
          <w:color w:val="000000"/>
          <w:sz w:val="24"/>
          <w:szCs w:val="24"/>
        </w:rPr>
        <w:t>23.02.07 Техническое обслуживание и ремонт двигателей, систем и агрегатов автомобилей</w:t>
      </w:r>
      <w:bookmarkStart w:id="0" w:name="_GoBack"/>
      <w:bookmarkEnd w:id="0"/>
    </w:p>
    <w:p w:rsidR="00BE09AC" w:rsidRPr="00D16952" w:rsidRDefault="00BE09AC" w:rsidP="00B33368">
      <w:pPr>
        <w:spacing w:after="0"/>
        <w:ind w:firstLine="709"/>
        <w:jc w:val="both"/>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w:t>
            </w:r>
            <w:r w:rsidRPr="00094FA9">
              <w:lastRenderedPageBreak/>
              <w:t xml:space="preserve">благополучия и устойчивого развития личности, общества и государства; </w:t>
            </w:r>
          </w:p>
          <w:p w:rsidR="00AD0024" w:rsidRPr="00094FA9" w:rsidRDefault="00AD0024" w:rsidP="00094FA9">
            <w:pPr>
              <w:pStyle w:val="Default"/>
              <w:jc w:val="both"/>
            </w:pPr>
            <w:r w:rsidRPr="00094FA9">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w:t>
            </w:r>
            <w:r w:rsidRPr="00094FA9">
              <w:rPr>
                <w:rFonts w:ascii="Times New Roman" w:hAnsi="Times New Roman" w:cs="Times New Roman"/>
                <w:color w:val="000000"/>
                <w:sz w:val="24"/>
                <w:szCs w:val="24"/>
              </w:rPr>
              <w:lastRenderedPageBreak/>
              <w:t xml:space="preserve">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w:t>
            </w:r>
            <w:r w:rsidRPr="00094FA9">
              <w:lastRenderedPageBreak/>
              <w:t xml:space="preserve">характера; роли Вооруженных Сил Российской Федерации в обеспечении защиты государства; 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w:t>
            </w:r>
            <w:r w:rsidRPr="00094FA9">
              <w:lastRenderedPageBreak/>
              <w:t>террористической опасности и действий при угрозе или в случае террористического акта, 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w:t>
            </w:r>
            <w:r w:rsidRPr="00E34F79">
              <w:lastRenderedPageBreak/>
              <w:t xml:space="preserve">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w:t>
            </w:r>
            <w:r w:rsidRPr="00E34F79">
              <w:lastRenderedPageBreak/>
              <w:t xml:space="preserve">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w:t>
            </w:r>
            <w:r w:rsidRPr="00E34F79">
              <w:rPr>
                <w:rFonts w:ascii="Times New Roman" w:hAnsi="Times New Roman" w:cs="Times New Roman"/>
                <w:sz w:val="24"/>
                <w:szCs w:val="24"/>
              </w:rPr>
              <w:lastRenderedPageBreak/>
              <w:t xml:space="preserve">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w:t>
            </w:r>
            <w:r w:rsidRPr="00E34F79">
              <w:rPr>
                <w:rFonts w:ascii="Times New Roman" w:hAnsi="Times New Roman" w:cs="Times New Roman"/>
                <w:sz w:val="24"/>
                <w:szCs w:val="24"/>
              </w:rPr>
              <w:lastRenderedPageBreak/>
              <w:t xml:space="preserve">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lastRenderedPageBreak/>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w:t>
            </w:r>
            <w:r w:rsidRPr="00E34F79">
              <w:lastRenderedPageBreak/>
              <w:t xml:space="preserve">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w:t>
            </w:r>
            <w:r w:rsidRPr="00E34F79">
              <w:rPr>
                <w:rFonts w:ascii="Times New Roman" w:hAnsi="Times New Roman" w:cs="Times New Roman"/>
                <w:sz w:val="24"/>
                <w:szCs w:val="24"/>
              </w:rPr>
              <w:lastRenderedPageBreak/>
              <w:t xml:space="preserve">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w:t>
            </w:r>
            <w:r w:rsidRPr="00E34F79">
              <w:lastRenderedPageBreak/>
              <w:t>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w:t>
            </w:r>
            <w:r w:rsidRPr="00E34F79">
              <w:lastRenderedPageBreak/>
              <w:t>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w:t>
            </w:r>
            <w:r w:rsidRPr="00E34F79">
              <w:rPr>
                <w:rFonts w:ascii="Times New Roman" w:hAnsi="Times New Roman" w:cs="Times New Roman"/>
                <w:sz w:val="24"/>
                <w:szCs w:val="24"/>
              </w:rPr>
              <w:lastRenderedPageBreak/>
              <w:t>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Источники опасности в быту, их классификация. </w:t>
            </w:r>
            <w:r w:rsidRPr="00E34F79">
              <w:lastRenderedPageBreak/>
              <w:t xml:space="preserve">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Раскрывают источники и классифицируют </w:t>
            </w:r>
            <w:r w:rsidRPr="00E34F79">
              <w:lastRenderedPageBreak/>
              <w:t>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w:t>
            </w:r>
            <w:r>
              <w:rPr>
                <w:rFonts w:ascii="Times New Roman" w:hAnsi="Times New Roman" w:cs="Times New Roman"/>
                <w:sz w:val="24"/>
                <w:szCs w:val="24"/>
              </w:rPr>
              <w:lastRenderedPageBreak/>
              <w:t>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w:t>
            </w:r>
            <w:r w:rsidRPr="00E34F79">
              <w:rPr>
                <w:rFonts w:ascii="Times New Roman" w:hAnsi="Times New Roman" w:cs="Times New Roman"/>
                <w:sz w:val="24"/>
                <w:szCs w:val="24"/>
              </w:rPr>
              <w:lastRenderedPageBreak/>
              <w:t xml:space="preserve">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Основные источники опасности в метро. Правила безопасного поведения. Порядок действий при возникновении опасной или чрезвычайной </w:t>
            </w:r>
            <w:r w:rsidRPr="00E34F79">
              <w:lastRenderedPageBreak/>
              <w:t>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w:t>
            </w:r>
            <w:r w:rsidRPr="00E34F79">
              <w:lastRenderedPageBreak/>
              <w:t xml:space="preserve">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w:t>
            </w:r>
            <w:r w:rsidRPr="00E34F79">
              <w:lastRenderedPageBreak/>
              <w:t xml:space="preserve">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w:t>
            </w:r>
            <w:r w:rsidRPr="00E34F79">
              <w:lastRenderedPageBreak/>
              <w:t xml:space="preserve">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w:t>
            </w:r>
            <w:r w:rsidRPr="00E34F79">
              <w:lastRenderedPageBreak/>
              <w:t xml:space="preserve">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8.2. Инфекционные заболевания. Значение вакцинации в борьбе с </w:t>
            </w:r>
            <w:r w:rsidRPr="00E34F79">
              <w:lastRenderedPageBreak/>
              <w:t>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E34F79">
              <w:lastRenderedPageBreak/>
              <w:t xml:space="preserve">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w:t>
            </w:r>
            <w:r w:rsidRPr="00E34F79">
              <w:lastRenderedPageBreak/>
              <w:t xml:space="preserve">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8.4. Психическое здоровье и психологическое </w:t>
            </w:r>
            <w:r w:rsidRPr="00E34F79">
              <w:lastRenderedPageBreak/>
              <w:t>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w:t>
            </w:r>
            <w:r w:rsidRPr="00E34F79">
              <w:lastRenderedPageBreak/>
              <w:t xml:space="preserve">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w:t>
            </w:r>
            <w:r w:rsidRPr="00E34F79">
              <w:lastRenderedPageBreak/>
              <w:t xml:space="preserve">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sidRPr="00E34F79">
              <w:rPr>
                <w:rFonts w:ascii="Times New Roman" w:hAnsi="Times New Roman" w:cs="Times New Roman"/>
                <w:sz w:val="24"/>
                <w:szCs w:val="24"/>
              </w:rPr>
              <w:lastRenderedPageBreak/>
              <w:t xml:space="preserve">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w:t>
            </w:r>
            <w:r w:rsidRPr="00E34F79">
              <w:lastRenderedPageBreak/>
              <w:t xml:space="preserve">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w:t>
            </w:r>
            <w:r w:rsidRPr="00E34F79">
              <w:lastRenderedPageBreak/>
              <w:t>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w:t>
            </w:r>
            <w:r w:rsidRPr="00E34F79">
              <w:rPr>
                <w:rFonts w:ascii="Times New Roman" w:hAnsi="Times New Roman" w:cs="Times New Roman"/>
                <w:sz w:val="24"/>
                <w:szCs w:val="24"/>
              </w:rPr>
              <w:lastRenderedPageBreak/>
              <w:t xml:space="preserve">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Экстремизм и терроризм как угроза устойчивого развития общества. Понятия «экстремизм» и </w:t>
            </w:r>
            <w:r w:rsidRPr="00E34F79">
              <w:lastRenderedPageBreak/>
              <w:t>«терроризм»,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экстремизм и терроризм как угрозу благополучию человека, стабильности </w:t>
            </w:r>
            <w:r w:rsidRPr="00E34F79">
              <w:lastRenderedPageBreak/>
              <w:t xml:space="preserve">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3D750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3D750F">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3D750F">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lastRenderedPageBreak/>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w:t>
            </w:r>
            <w:r w:rsidRPr="004E72A3">
              <w:lastRenderedPageBreak/>
              <w:t xml:space="preserve">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 xml:space="preserve">Модуль № 3 «Культура безопасности </w:t>
            </w:r>
            <w:r w:rsidRPr="004E72A3">
              <w:rPr>
                <w:iCs/>
              </w:rPr>
              <w:lastRenderedPageBreak/>
              <w:t>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 xml:space="preserve">Задание </w:t>
            </w:r>
            <w:r w:rsidRPr="004E72A3">
              <w:rPr>
                <w:rFonts w:ascii="Times New Roman" w:hAnsi="Times New Roman" w:cs="Times New Roman"/>
                <w:sz w:val="24"/>
                <w:szCs w:val="24"/>
              </w:rPr>
              <w:lastRenderedPageBreak/>
              <w:t>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w:t>
            </w:r>
            <w:r w:rsidRPr="004E72A3">
              <w:lastRenderedPageBreak/>
              <w:t xml:space="preserve">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lastRenderedPageBreak/>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w:t>
            </w:r>
            <w:r w:rsidRPr="004E72A3">
              <w:lastRenderedPageBreak/>
              <w:t xml:space="preserve">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заданий на </w:t>
            </w:r>
            <w:r w:rsidRPr="00D16952">
              <w:rPr>
                <w:rFonts w:ascii="Times New Roman" w:eastAsia="OfficinaSansBookC" w:hAnsi="Times New Roman" w:cs="Times New Roman"/>
                <w:sz w:val="24"/>
                <w:szCs w:val="24"/>
              </w:rPr>
              <w:lastRenderedPageBreak/>
              <w:t>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w:t>
            </w:r>
            <w:r w:rsidRPr="004E72A3">
              <w:lastRenderedPageBreak/>
              <w:t xml:space="preserve">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lastRenderedPageBreak/>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w:t>
            </w:r>
            <w:r w:rsidRPr="004E72A3">
              <w:lastRenderedPageBreak/>
              <w:t xml:space="preserve">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F86" w:rsidRDefault="007E1F86" w:rsidP="00BE09AC">
      <w:pPr>
        <w:spacing w:after="0" w:line="240" w:lineRule="auto"/>
      </w:pPr>
      <w:r>
        <w:separator/>
      </w:r>
    </w:p>
  </w:endnote>
  <w:endnote w:type="continuationSeparator" w:id="0">
    <w:p w:rsidR="007E1F86" w:rsidRDefault="007E1F86"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00"/>
    <w:family w:val="roman"/>
    <w:notTrueType/>
    <w:pitch w:val="default"/>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9874B2">
          <w:rPr>
            <w:noProof/>
          </w:rPr>
          <w:t>277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F86" w:rsidRDefault="007E1F86" w:rsidP="00BE09AC">
      <w:pPr>
        <w:spacing w:after="0" w:line="240" w:lineRule="auto"/>
      </w:pPr>
      <w:r>
        <w:separator/>
      </w:r>
    </w:p>
  </w:footnote>
  <w:footnote w:type="continuationSeparator" w:id="0">
    <w:p w:rsidR="007E1F86" w:rsidRDefault="007E1F86"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3E26EA"/>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7E1F86"/>
    <w:rsid w:val="008435F8"/>
    <w:rsid w:val="00852264"/>
    <w:rsid w:val="0085394B"/>
    <w:rsid w:val="008D6C20"/>
    <w:rsid w:val="00904896"/>
    <w:rsid w:val="00906E0D"/>
    <w:rsid w:val="00931A64"/>
    <w:rsid w:val="00950548"/>
    <w:rsid w:val="009874B2"/>
    <w:rsid w:val="0098773B"/>
    <w:rsid w:val="00995FB3"/>
    <w:rsid w:val="009A1946"/>
    <w:rsid w:val="009A5A5B"/>
    <w:rsid w:val="009B229D"/>
    <w:rsid w:val="00A20871"/>
    <w:rsid w:val="00A76F98"/>
    <w:rsid w:val="00AB4F91"/>
    <w:rsid w:val="00AD0024"/>
    <w:rsid w:val="00AD18C4"/>
    <w:rsid w:val="00AF2209"/>
    <w:rsid w:val="00B22DA0"/>
    <w:rsid w:val="00B311ED"/>
    <w:rsid w:val="00B33368"/>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EB7E41"/>
    <w:rsid w:val="00F8553E"/>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48A4"/>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4F40-C704-4042-9976-4FEBCEDF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16269</Words>
  <Characters>92735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15</cp:revision>
  <cp:lastPrinted>2024-03-10T22:50:00Z</cp:lastPrinted>
  <dcterms:created xsi:type="dcterms:W3CDTF">2023-06-23T05:23:00Z</dcterms:created>
  <dcterms:modified xsi:type="dcterms:W3CDTF">2024-05-30T23:24:00Z</dcterms:modified>
</cp:coreProperties>
</file>