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 w:rsidR="001A4F31">
        <w:rPr>
          <w:rFonts w:ascii="Times New Roman" w:hAnsi="Times New Roman"/>
          <w:sz w:val="24"/>
          <w:szCs w:val="24"/>
        </w:rPr>
        <w:t>2.1</w:t>
      </w:r>
      <w:bookmarkStart w:id="0" w:name="_GoBack"/>
      <w:bookmarkEnd w:id="0"/>
      <w:r w:rsidRPr="00073B0F">
        <w:rPr>
          <w:rFonts w:ascii="Times New Roman" w:hAnsi="Times New Roman"/>
          <w:sz w:val="24"/>
          <w:szCs w:val="24"/>
        </w:rPr>
        <w:t>.1</w:t>
      </w:r>
      <w:r w:rsidR="00F06F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ООП по </w:t>
      </w:r>
      <w:r w:rsidR="00987BA3">
        <w:rPr>
          <w:rFonts w:ascii="Times New Roman" w:hAnsi="Times New Roman"/>
          <w:sz w:val="24"/>
          <w:szCs w:val="24"/>
        </w:rPr>
        <w:t>профессии</w:t>
      </w:r>
      <w:r w:rsidR="00987BA3" w:rsidRPr="00073B0F">
        <w:rPr>
          <w:rFonts w:ascii="Times New Roman" w:hAnsi="Times New Roman"/>
          <w:sz w:val="24"/>
          <w:szCs w:val="24"/>
        </w:rPr>
        <w:t xml:space="preserve"> </w:t>
      </w:r>
    </w:p>
    <w:p w:rsidR="008C25B5" w:rsidRPr="00073B0F" w:rsidRDefault="00987BA3" w:rsidP="00987BA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B0C5F">
        <w:rPr>
          <w:rFonts w:ascii="Times New Roman" w:hAnsi="Times New Roman"/>
          <w:sz w:val="24"/>
          <w:szCs w:val="24"/>
        </w:rPr>
        <w:t>35.01.27 Мастер сельскохозяйственного производства</w:t>
      </w:r>
    </w:p>
    <w:p w:rsidR="00F06FEE" w:rsidRDefault="00F06FEE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F06FEE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 w:rsidR="00F06FE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1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» </w:t>
      </w:r>
      <w:r w:rsidR="00F06FE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февраля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202</w:t>
      </w:r>
      <w:r w:rsidR="00F06FE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4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</w:t>
      </w:r>
      <w:r w:rsidR="00987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2F43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 w:rsidR="00F06FEE">
        <w:rPr>
          <w:rFonts w:ascii="Times New Roman" w:hAnsi="Times New Roman" w:cs="Times New Roman"/>
          <w:sz w:val="24"/>
          <w:szCs w:val="24"/>
        </w:rPr>
        <w:t>технологический</w:t>
      </w:r>
      <w:r>
        <w:rPr>
          <w:rFonts w:ascii="Times New Roman" w:hAnsi="Times New Roman" w:cs="Times New Roman"/>
          <w:sz w:val="24"/>
          <w:szCs w:val="24"/>
        </w:rPr>
        <w:t>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B5" w:rsidRPr="00090D0C" w:rsidRDefault="00987BA3" w:rsidP="00987BA3">
      <w:pPr>
        <w:pStyle w:val="a5"/>
        <w:spacing w:before="0" w:beforeAutospacing="0" w:after="0" w:afterAutospacing="0" w:line="276" w:lineRule="auto"/>
        <w:jc w:val="both"/>
      </w:pPr>
      <w:r>
        <w:t>Профессия</w:t>
      </w:r>
      <w:r w:rsidR="008C25B5" w:rsidRPr="00090D0C">
        <w:t xml:space="preserve">: </w:t>
      </w:r>
      <w:r w:rsidRPr="00DB0C5F">
        <w:t>35.01.27 Мастер сельскохозяйственного производства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 w:rsidR="00F06FEE">
        <w:t>4</w:t>
      </w:r>
      <w:r w:rsidRPr="00E67357">
        <w:t xml:space="preserve"> г.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</w:t>
      </w:r>
      <w:r w:rsidR="00987BA3" w:rsidRPr="003B382D">
        <w:t xml:space="preserve">от </w:t>
      </w:r>
      <w:r w:rsidR="00987BA3" w:rsidRPr="003B5A99">
        <w:rPr>
          <w:color w:val="000000"/>
        </w:rPr>
        <w:t>24 мая 2022 № 355</w:t>
      </w:r>
      <w:r w:rsidR="00987BA3" w:rsidRPr="005436C5">
        <w:rPr>
          <w:i/>
          <w:iCs/>
          <w:color w:val="000000"/>
        </w:rPr>
        <w:t xml:space="preserve"> </w:t>
      </w:r>
      <w:r w:rsidR="00987BA3">
        <w:t xml:space="preserve">по профессии </w:t>
      </w:r>
      <w:r w:rsidR="00987BA3">
        <w:rPr>
          <w:bCs/>
          <w:color w:val="000000"/>
        </w:rPr>
        <w:t>3</w:t>
      </w:r>
      <w:r w:rsidR="00987BA3" w:rsidRPr="004A5761">
        <w:rPr>
          <w:bCs/>
          <w:color w:val="000000"/>
        </w:rPr>
        <w:t>5.01.27 Мастер сельскохозяйственного производства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rPr>
          <w:rStyle w:val="52"/>
          <w:bCs/>
          <w:color w:val="000000"/>
          <w:sz w:val="24"/>
        </w:rPr>
      </w:pPr>
      <w:r w:rsidRPr="008C25B5">
        <w:t xml:space="preserve">Программа учебной дисциплины рассмотрена и согласована на заседании ПЦК </w:t>
      </w:r>
      <w:r w:rsidRPr="008C25B5">
        <w:rPr>
          <w:rStyle w:val="52"/>
          <w:b w:val="0"/>
          <w:bCs/>
          <w:color w:val="000000"/>
          <w:sz w:val="24"/>
        </w:rPr>
        <w:t>«</w:t>
      </w:r>
      <w:r w:rsidR="00F06FEE">
        <w:rPr>
          <w:rStyle w:val="52"/>
          <w:b w:val="0"/>
          <w:bCs/>
          <w:color w:val="000000"/>
          <w:sz w:val="24"/>
        </w:rPr>
        <w:t>Гуманитарного и естественнонаучного</w:t>
      </w:r>
      <w:r w:rsidR="00987BA3">
        <w:rPr>
          <w:rStyle w:val="52"/>
          <w:b w:val="0"/>
          <w:bCs/>
          <w:color w:val="000000"/>
          <w:sz w:val="24"/>
        </w:rPr>
        <w:t xml:space="preserve"> цикла</w:t>
      </w:r>
      <w:r w:rsidRPr="008C25B5">
        <w:rPr>
          <w:rStyle w:val="52"/>
          <w:b w:val="0"/>
          <w:bCs/>
          <w:color w:val="000000"/>
          <w:sz w:val="24"/>
        </w:rPr>
        <w:t>»</w:t>
      </w:r>
      <w:r w:rsidRPr="008C25B5">
        <w:rPr>
          <w:rStyle w:val="52"/>
          <w:bCs/>
          <w:color w:val="000000"/>
          <w:sz w:val="24"/>
        </w:rPr>
        <w:t xml:space="preserve"> 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  <w:r w:rsidRPr="008C25B5">
        <w:t xml:space="preserve">Протокол № </w:t>
      </w:r>
      <w:r w:rsidR="00F06FEE">
        <w:t>6</w:t>
      </w:r>
      <w:r w:rsidRPr="008C25B5">
        <w:t xml:space="preserve"> от «1</w:t>
      </w:r>
      <w:r w:rsidR="00F06FEE">
        <w:t>4</w:t>
      </w:r>
      <w:r w:rsidRPr="008C25B5">
        <w:t xml:space="preserve">» </w:t>
      </w:r>
      <w:r w:rsidR="00F06FEE">
        <w:t>феврал</w:t>
      </w:r>
      <w:r>
        <w:t>я</w:t>
      </w:r>
      <w:r w:rsidR="00FC0FAC">
        <w:t xml:space="preserve"> </w:t>
      </w:r>
      <w:r w:rsidRPr="008C25B5">
        <w:t>202</w:t>
      </w:r>
      <w:r w:rsidR="00F06FEE">
        <w:t>4</w:t>
      </w:r>
      <w:r w:rsidRPr="008C25B5">
        <w:t xml:space="preserve"> г.</w:t>
      </w:r>
    </w:p>
    <w:p w:rsidR="008C25B5" w:rsidRPr="008C25B5" w:rsidRDefault="008C25B5" w:rsidP="008C25B5">
      <w:pPr>
        <w:spacing w:after="0"/>
        <w:jc w:val="both"/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</w:pPr>
      <w:r w:rsidRPr="008C25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F06FEE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Н.Н. Кайденко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8C25B5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4"/>
      </w:tblGrid>
      <w:tr w:rsidR="008C25B5" w:rsidRPr="008C25B5" w:rsidTr="00987BA3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987BA3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1. ОБЩАЯ ХАРАКТЕРИСТИКА ПРОГРАММЫ </w:t>
            </w:r>
            <w:r w:rsidR="00FC0FAC" w:rsidRPr="008C25B5">
              <w:rPr>
                <w:color w:val="000000"/>
              </w:rPr>
              <w:t>ОБЩЕОБР</w:t>
            </w:r>
            <w:r w:rsidR="00FC0FAC">
              <w:rPr>
                <w:color w:val="000000"/>
              </w:rPr>
              <w:t>АЗОВАТЕЛЬНОЙ</w:t>
            </w:r>
            <w:r w:rsidR="00FC0FAC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987BA3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2. СТРУКТУРА И СОДЕРЖАНИЕ </w:t>
            </w:r>
            <w:r w:rsidR="00FC0FAC" w:rsidRPr="00E053C9">
              <w:t xml:space="preserve">ПРОГРАММЫ </w:t>
            </w:r>
            <w:r w:rsidR="00FC0FAC" w:rsidRPr="008C25B5">
              <w:rPr>
                <w:color w:val="000000"/>
              </w:rPr>
              <w:t>ОБЩЕОБР</w:t>
            </w:r>
            <w:r w:rsidR="00FC0FAC">
              <w:rPr>
                <w:color w:val="000000"/>
              </w:rPr>
              <w:t>АЗОВАТЕЛЬНОЙ</w:t>
            </w:r>
            <w:r w:rsidR="00FC0FAC" w:rsidRPr="00E053C9">
              <w:t xml:space="preserve"> </w:t>
            </w:r>
            <w:r w:rsidRPr="00E053C9">
              <w:t xml:space="preserve">УЧЕБНОЙ ДИСЦИПЛИНЫ 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987BA3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F06FEE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3. УСЛОВИЯ РЕАЛИЗАЦИИ ПРОГРАММЫ </w:t>
            </w:r>
            <w:r w:rsidR="00FC0FAC" w:rsidRPr="008C25B5">
              <w:rPr>
                <w:color w:val="000000"/>
              </w:rPr>
              <w:t>ОБЩЕОБР</w:t>
            </w:r>
            <w:r w:rsidR="00FC0FAC">
              <w:rPr>
                <w:color w:val="000000"/>
              </w:rPr>
              <w:t>АЗОВАТЕЛЬНОЙ</w:t>
            </w:r>
            <w:r w:rsidR="00FC0FAC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987BA3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F06FEE">
            <w:pPr>
              <w:pStyle w:val="a5"/>
              <w:spacing w:before="0" w:beforeAutospacing="0" w:after="0" w:afterAutospacing="0" w:line="276" w:lineRule="auto"/>
              <w:jc w:val="both"/>
            </w:pPr>
            <w:r w:rsidRPr="00E053C9">
              <w:t xml:space="preserve">4. КОНТРОЛЬ И ОЦЕНКА РЕЗУЛЬТАТОВ ОСВОЕНИЯ </w:t>
            </w:r>
            <w:r w:rsidR="00FC0FAC" w:rsidRPr="00E053C9">
              <w:t xml:space="preserve">ПРОГРАММЫ </w:t>
            </w:r>
            <w:r w:rsidR="00FC0FAC" w:rsidRPr="008C25B5">
              <w:rPr>
                <w:color w:val="000000"/>
              </w:rPr>
              <w:t>ОБЩЕОБР</w:t>
            </w:r>
            <w:r w:rsidR="00FC0FAC">
              <w:rPr>
                <w:color w:val="000000"/>
              </w:rPr>
              <w:t>АЗОВАТЕЛЬНОЙ</w:t>
            </w:r>
            <w:r w:rsidR="00FC0FAC" w:rsidRPr="00E053C9">
              <w:t xml:space="preserve">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ОБЩАЯ ХАРАКТЕРИСТИКА </w:t>
      </w:r>
      <w:r w:rsidR="00FC0FAC" w:rsidRPr="00FC0FA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C0FAC" w:rsidRP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0FAC" w:rsidRPr="00FC0F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ОБЩЕОБРАЗОВАТЕЛЬНОЙ</w:t>
      </w:r>
      <w:r w:rsidR="00FC0FAC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азовательной учебной дисциплины ПД.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   06-259).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состав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профильных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азования, для 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СПО </w:t>
      </w:r>
      <w:r w:rsidR="00987BA3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987BA3" w:rsidRPr="004A5761">
        <w:rPr>
          <w:rFonts w:ascii="Times New Roman" w:hAnsi="Times New Roman"/>
          <w:bCs/>
          <w:color w:val="000000"/>
          <w:sz w:val="24"/>
          <w:szCs w:val="24"/>
        </w:rPr>
        <w:t>5.01.27 Мастер сельскохозяйственного производства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8C25B5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297D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разрабатывать структуру конкретного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5A23C6">
      <w:pPr>
        <w:pStyle w:val="aa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561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615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СТРУКТУРА И СОДЕРЖАНИЕ </w:t>
      </w:r>
      <w:r w:rsid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C0FAC" w:rsidRPr="00FC0F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ОБЩЕОБРАЗОВАТЕЛЬНОЙ</w:t>
      </w:r>
      <w:r w:rsidR="00FC0FAC" w:rsidRP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81"/>
        <w:gridCol w:w="2331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5A23C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E4709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E4709D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5A2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E4709D" w:rsidP="000E269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</w:p>
    <w:p w:rsidR="005A23C6" w:rsidRPr="00B80E28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  <w:r w:rsidRPr="00B80E28">
        <w:rPr>
          <w:b/>
        </w:rPr>
        <w:t>2.2 Тематический план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987BA3" w:rsidRDefault="005A23C6" w:rsidP="000E2697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B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987BA3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987BA3" w:rsidRDefault="00082BA8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B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987BA3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987BA3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987BA3" w:rsidP="000E2697">
            <w:pPr>
              <w:pStyle w:val="a5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987BA3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987BA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87BA3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987BA3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5A23C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F06FEE">
          <w:footerReference w:type="default" r:id="rId8"/>
          <w:pgSz w:w="11906" w:h="16838"/>
          <w:pgMar w:top="851" w:right="566" w:bottom="1134" w:left="1134" w:header="708" w:footer="708" w:gutter="0"/>
          <w:pgNumType w:start="625"/>
          <w:cols w:space="708"/>
          <w:titlePg/>
          <w:docGrid w:linePitch="360"/>
        </w:sectPr>
      </w:pPr>
    </w:p>
    <w:p w:rsidR="00491ED6" w:rsidRPr="00491ED6" w:rsidRDefault="00491ED6" w:rsidP="005A23C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022" w:type="pct"/>
        <w:tblInd w:w="-2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10128"/>
        <w:gridCol w:w="851"/>
        <w:gridCol w:w="1525"/>
      </w:tblGrid>
      <w:tr w:rsidR="00082BA8" w:rsidRPr="00491ED6" w:rsidTr="00FC0FAC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FC0FAC"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FC0FAC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FC0FAC"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FC0FAC">
        <w:trPr>
          <w:trHeight w:val="75"/>
        </w:trPr>
        <w:tc>
          <w:tcPr>
            <w:tcW w:w="3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FC0FAC"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FC0FAC">
        <w:trPr>
          <w:trHeight w:val="285"/>
        </w:trPr>
        <w:tc>
          <w:tcPr>
            <w:tcW w:w="3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FC0FAC">
        <w:tc>
          <w:tcPr>
            <w:tcW w:w="13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FC0FAC"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FC0FAC">
        <w:tc>
          <w:tcPr>
            <w:tcW w:w="3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FC0FAC"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FC0FAC">
        <w:tc>
          <w:tcPr>
            <w:tcW w:w="311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FC0FAC">
        <w:tc>
          <w:tcPr>
            <w:tcW w:w="31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FC0FAC"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FC0FAC">
        <w:tc>
          <w:tcPr>
            <w:tcW w:w="3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C0FAC" w:rsidRPr="00FC0F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</w:t>
      </w:r>
      <w:r w:rsidR="00987BA3">
        <w:rPr>
          <w:rFonts w:ascii="Times New Roman" w:eastAsia="Times New Roman" w:hAnsi="Times New Roman" w:cs="Times New Roman"/>
          <w:color w:val="000000"/>
          <w:sz w:val="24"/>
          <w:szCs w:val="24"/>
        </w:rPr>
        <w:t>03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 // СЗ РФ. — 2009. — № 4. — Ст.  445.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3618EC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3618EC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3618EC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3618EC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3618EC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001F6F" w:rsidRDefault="00001F6F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</w:t>
      </w:r>
      <w:r w:rsidR="00FC0FAC" w:rsidRP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0F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ПРОГРАММЫ </w:t>
      </w:r>
      <w:r w:rsidR="00FC0FAC" w:rsidRPr="00FC0F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5460"/>
        <w:gridCol w:w="2680"/>
      </w:tblGrid>
      <w:tr w:rsidR="00001F6F" w:rsidRPr="004E03B3" w:rsidTr="00987BA3"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6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987BA3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1.2.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Технология работы над проектным продуктом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Строить логическое рассуждение, включающее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987BA3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2. Выполнение индивидуального проекта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координации различных позиций в сотрудничестве.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987BA3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2.4. Представление и оценивание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F06FEE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F06FEE">
      <w:pgSz w:w="11906" w:h="16838"/>
      <w:pgMar w:top="851" w:right="566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8EC" w:rsidRDefault="003618EC" w:rsidP="00FC0FAC">
      <w:pPr>
        <w:spacing w:after="0" w:line="240" w:lineRule="auto"/>
      </w:pPr>
      <w:r>
        <w:separator/>
      </w:r>
    </w:p>
  </w:endnote>
  <w:endnote w:type="continuationSeparator" w:id="0">
    <w:p w:rsidR="003618EC" w:rsidRDefault="003618EC" w:rsidP="00FC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715922"/>
      <w:docPartObj>
        <w:docPartGallery w:val="Page Numbers (Bottom of Page)"/>
        <w:docPartUnique/>
      </w:docPartObj>
    </w:sdtPr>
    <w:sdtEndPr/>
    <w:sdtContent>
      <w:p w:rsidR="00FC0FAC" w:rsidRDefault="00FC0FAC" w:rsidP="00F06FE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F31">
          <w:rPr>
            <w:noProof/>
          </w:rPr>
          <w:t>635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8EC" w:rsidRDefault="003618EC" w:rsidP="00FC0FAC">
      <w:pPr>
        <w:spacing w:after="0" w:line="240" w:lineRule="auto"/>
      </w:pPr>
      <w:r>
        <w:separator/>
      </w:r>
    </w:p>
  </w:footnote>
  <w:footnote w:type="continuationSeparator" w:id="0">
    <w:p w:rsidR="003618EC" w:rsidRDefault="003618EC" w:rsidP="00FC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82BA8"/>
    <w:rsid w:val="001A4F31"/>
    <w:rsid w:val="0024597B"/>
    <w:rsid w:val="00297D15"/>
    <w:rsid w:val="002F438F"/>
    <w:rsid w:val="00320E3A"/>
    <w:rsid w:val="003618EC"/>
    <w:rsid w:val="00396C2B"/>
    <w:rsid w:val="00491ED6"/>
    <w:rsid w:val="004D4DF8"/>
    <w:rsid w:val="004E03B3"/>
    <w:rsid w:val="005A23C6"/>
    <w:rsid w:val="006A0DAF"/>
    <w:rsid w:val="008C25B5"/>
    <w:rsid w:val="00987BA3"/>
    <w:rsid w:val="009A1A70"/>
    <w:rsid w:val="00C27F22"/>
    <w:rsid w:val="00E4709D"/>
    <w:rsid w:val="00E84B69"/>
    <w:rsid w:val="00EE316E"/>
    <w:rsid w:val="00F06FEE"/>
    <w:rsid w:val="00FC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9497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uiPriority w:val="1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C0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0FAC"/>
  </w:style>
  <w:style w:type="paragraph" w:styleId="ae">
    <w:name w:val="footer"/>
    <w:basedOn w:val="a"/>
    <w:link w:val="af"/>
    <w:uiPriority w:val="99"/>
    <w:unhideWhenUsed/>
    <w:rsid w:val="00FC0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0FAC"/>
  </w:style>
  <w:style w:type="paragraph" w:styleId="af0">
    <w:name w:val="Balloon Text"/>
    <w:basedOn w:val="a"/>
    <w:link w:val="af1"/>
    <w:uiPriority w:val="99"/>
    <w:semiHidden/>
    <w:unhideWhenUsed/>
    <w:rsid w:val="00FC0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0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DBAF-26E0-4238-8658-7B090B57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14</cp:revision>
  <cp:lastPrinted>2024-02-07T22:22:00Z</cp:lastPrinted>
  <dcterms:created xsi:type="dcterms:W3CDTF">2023-06-16T04:37:00Z</dcterms:created>
  <dcterms:modified xsi:type="dcterms:W3CDTF">2024-02-07T22:25:00Z</dcterms:modified>
</cp:coreProperties>
</file>