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32" w:rsidRDefault="00700032" w:rsidP="00700032">
      <w:pPr>
        <w:pStyle w:val="20"/>
        <w:shd w:val="clear" w:color="auto" w:fill="auto"/>
        <w:tabs>
          <w:tab w:val="left" w:pos="993"/>
        </w:tabs>
        <w:spacing w:line="240" w:lineRule="auto"/>
        <w:ind w:left="-709" w:right="-7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2pt;height:726.6pt">
            <v:imagedata r:id="rId7" o:title="11"/>
          </v:shape>
        </w:pict>
      </w:r>
    </w:p>
    <w:p w:rsidR="00F541B1" w:rsidRPr="00F064A8" w:rsidRDefault="00F541B1" w:rsidP="00700032">
      <w:pPr>
        <w:pStyle w:val="20"/>
        <w:shd w:val="clear" w:color="auto" w:fill="auto"/>
        <w:tabs>
          <w:tab w:val="left" w:pos="993"/>
        </w:tabs>
        <w:spacing w:line="240" w:lineRule="auto"/>
        <w:ind w:left="851" w:right="-7" w:firstLine="720"/>
        <w:jc w:val="both"/>
        <w:rPr>
          <w:sz w:val="22"/>
          <w:szCs w:val="22"/>
        </w:rPr>
      </w:pPr>
      <w:r w:rsidRPr="00F064A8">
        <w:rPr>
          <w:sz w:val="22"/>
          <w:szCs w:val="22"/>
        </w:rPr>
        <w:lastRenderedPageBreak/>
        <w:t>правонарушений (борьба с коррупцией);</w:t>
      </w:r>
    </w:p>
    <w:p w:rsidR="00F541B1" w:rsidRPr="00F064A8" w:rsidRDefault="00F064A8" w:rsidP="00700032">
      <w:pPr>
        <w:pStyle w:val="20"/>
        <w:shd w:val="clear" w:color="auto" w:fill="auto"/>
        <w:tabs>
          <w:tab w:val="left" w:pos="993"/>
        </w:tabs>
        <w:spacing w:line="240" w:lineRule="auto"/>
        <w:ind w:left="851" w:right="-7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541B1" w:rsidRPr="00F064A8">
        <w:rPr>
          <w:sz w:val="22"/>
          <w:szCs w:val="22"/>
        </w:rPr>
        <w:tab/>
        <w:t>по минимизации и (или) ликвидации последствий коррупционных правонарушений.</w:t>
      </w:r>
    </w:p>
    <w:p w:rsidR="00F541B1" w:rsidRPr="00F064A8" w:rsidRDefault="00F064A8" w:rsidP="00700032">
      <w:pPr>
        <w:pStyle w:val="20"/>
        <w:shd w:val="clear" w:color="auto" w:fill="auto"/>
        <w:spacing w:line="240" w:lineRule="auto"/>
        <w:ind w:left="851" w:right="-7" w:firstLine="720"/>
        <w:jc w:val="both"/>
        <w:rPr>
          <w:bCs/>
          <w:color w:val="000000"/>
          <w:sz w:val="22"/>
          <w:szCs w:val="22"/>
          <w:shd w:val="clear" w:color="auto" w:fill="FFFFFF"/>
          <w:lang w:eastAsia="ru-RU" w:bidi="ru-RU"/>
        </w:rPr>
      </w:pPr>
      <w:r>
        <w:rPr>
          <w:rStyle w:val="21"/>
          <w:rFonts w:eastAsia="Calibri"/>
          <w:b w:val="0"/>
          <w:sz w:val="22"/>
          <w:szCs w:val="22"/>
        </w:rPr>
        <w:t xml:space="preserve">2.3. </w:t>
      </w:r>
      <w:r w:rsidR="00F541B1" w:rsidRPr="00F064A8">
        <w:rPr>
          <w:rStyle w:val="21"/>
          <w:rFonts w:eastAsia="Calibri"/>
          <w:b w:val="0"/>
          <w:sz w:val="22"/>
          <w:szCs w:val="22"/>
        </w:rPr>
        <w:t>Организация</w:t>
      </w:r>
      <w:r w:rsidR="00A6121E" w:rsidRPr="00F064A8">
        <w:rPr>
          <w:rStyle w:val="21"/>
          <w:b w:val="0"/>
          <w:sz w:val="22"/>
          <w:szCs w:val="22"/>
        </w:rPr>
        <w:t xml:space="preserve"> –</w:t>
      </w:r>
      <w:r w:rsidR="00F541B1" w:rsidRPr="00F064A8">
        <w:rPr>
          <w:sz w:val="22"/>
          <w:szCs w:val="22"/>
        </w:rPr>
        <w:t xml:space="preserve"> юридическое лицо независимо от формы собственности, организационно-правовой формы и отраслевой принадлежности.</w:t>
      </w:r>
    </w:p>
    <w:p w:rsidR="00F541B1" w:rsidRPr="00F064A8" w:rsidRDefault="00F064A8" w:rsidP="00700032">
      <w:pPr>
        <w:pStyle w:val="20"/>
        <w:shd w:val="clear" w:color="auto" w:fill="auto"/>
        <w:spacing w:line="240" w:lineRule="auto"/>
        <w:ind w:left="851" w:right="-7" w:firstLine="720"/>
        <w:jc w:val="both"/>
        <w:rPr>
          <w:sz w:val="22"/>
          <w:szCs w:val="22"/>
        </w:rPr>
      </w:pPr>
      <w:r>
        <w:rPr>
          <w:rStyle w:val="21"/>
          <w:rFonts w:eastAsia="Calibri"/>
          <w:b w:val="0"/>
          <w:sz w:val="22"/>
          <w:szCs w:val="22"/>
        </w:rPr>
        <w:t xml:space="preserve">2.4. </w:t>
      </w:r>
      <w:r w:rsidR="00F541B1" w:rsidRPr="00F064A8">
        <w:rPr>
          <w:rStyle w:val="21"/>
          <w:rFonts w:eastAsia="Calibri"/>
          <w:b w:val="0"/>
          <w:sz w:val="22"/>
          <w:szCs w:val="22"/>
        </w:rPr>
        <w:t>Контрагент</w:t>
      </w:r>
      <w:r w:rsidR="00A6121E" w:rsidRPr="00F064A8">
        <w:rPr>
          <w:sz w:val="22"/>
          <w:szCs w:val="22"/>
        </w:rPr>
        <w:t xml:space="preserve"> – </w:t>
      </w:r>
      <w:r w:rsidR="00F541B1" w:rsidRPr="00F064A8">
        <w:rPr>
          <w:sz w:val="22"/>
          <w:szCs w:val="22"/>
        </w:rPr>
        <w:t xml:space="preserve">любое российское или иностранное </w:t>
      </w:r>
      <w:r w:rsidRPr="00F064A8">
        <w:rPr>
          <w:sz w:val="22"/>
          <w:szCs w:val="22"/>
        </w:rPr>
        <w:t>юридическое,</w:t>
      </w:r>
      <w:r w:rsidR="00F541B1" w:rsidRPr="00F064A8">
        <w:rPr>
          <w:sz w:val="22"/>
          <w:szCs w:val="22"/>
        </w:rPr>
        <w:t xml:space="preserve"> или физическое лицо, с которым организация вступает в договорные отношения, за исключением трудовых отношений.</w:t>
      </w:r>
    </w:p>
    <w:p w:rsidR="00F541B1" w:rsidRPr="00F064A8" w:rsidRDefault="00F064A8" w:rsidP="00700032">
      <w:pPr>
        <w:pStyle w:val="20"/>
        <w:shd w:val="clear" w:color="auto" w:fill="auto"/>
        <w:spacing w:line="240" w:lineRule="auto"/>
        <w:ind w:left="851" w:right="-7" w:firstLine="720"/>
        <w:jc w:val="both"/>
        <w:rPr>
          <w:sz w:val="22"/>
          <w:szCs w:val="22"/>
        </w:rPr>
      </w:pPr>
      <w:r>
        <w:rPr>
          <w:rStyle w:val="21"/>
          <w:rFonts w:eastAsia="Calibri"/>
          <w:b w:val="0"/>
          <w:sz w:val="22"/>
          <w:szCs w:val="22"/>
        </w:rPr>
        <w:t xml:space="preserve">2.5. </w:t>
      </w:r>
      <w:r w:rsidR="00F541B1" w:rsidRPr="00F064A8">
        <w:rPr>
          <w:rStyle w:val="21"/>
          <w:rFonts w:eastAsia="Calibri"/>
          <w:b w:val="0"/>
          <w:sz w:val="22"/>
          <w:szCs w:val="22"/>
        </w:rPr>
        <w:t>Взятка</w:t>
      </w:r>
      <w:r w:rsidR="00A6121E" w:rsidRPr="00F064A8">
        <w:rPr>
          <w:sz w:val="22"/>
          <w:szCs w:val="22"/>
        </w:rPr>
        <w:t xml:space="preserve"> – </w:t>
      </w:r>
      <w:r w:rsidR="00F541B1" w:rsidRPr="00F064A8">
        <w:rPr>
          <w:sz w:val="22"/>
          <w:szCs w:val="22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</w:t>
      </w:r>
      <w:bookmarkStart w:id="0" w:name="_GoBack"/>
      <w:bookmarkEnd w:id="0"/>
      <w:r w:rsidR="00F541B1" w:rsidRPr="00F064A8">
        <w:rPr>
          <w:sz w:val="22"/>
          <w:szCs w:val="22"/>
        </w:rPr>
        <w:t>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F541B1" w:rsidRPr="00F064A8" w:rsidRDefault="00F064A8" w:rsidP="00700032">
      <w:pPr>
        <w:pStyle w:val="20"/>
        <w:shd w:val="clear" w:color="auto" w:fill="auto"/>
        <w:spacing w:line="240" w:lineRule="auto"/>
        <w:ind w:left="851" w:right="-7" w:firstLine="720"/>
        <w:jc w:val="both"/>
        <w:rPr>
          <w:bCs/>
          <w:color w:val="000000"/>
          <w:sz w:val="22"/>
          <w:szCs w:val="22"/>
          <w:shd w:val="clear" w:color="auto" w:fill="FFFFFF"/>
          <w:lang w:eastAsia="ru-RU" w:bidi="ru-RU"/>
        </w:rPr>
      </w:pPr>
      <w:r>
        <w:rPr>
          <w:rStyle w:val="21"/>
          <w:rFonts w:eastAsia="Calibri"/>
          <w:b w:val="0"/>
          <w:sz w:val="22"/>
          <w:szCs w:val="22"/>
        </w:rPr>
        <w:t xml:space="preserve">2.6. </w:t>
      </w:r>
      <w:r w:rsidR="00F541B1" w:rsidRPr="00F064A8">
        <w:rPr>
          <w:rStyle w:val="21"/>
          <w:rFonts w:eastAsia="Calibri"/>
          <w:b w:val="0"/>
          <w:sz w:val="22"/>
          <w:szCs w:val="22"/>
        </w:rPr>
        <w:t>Коммерческий подкуп</w:t>
      </w:r>
      <w:r w:rsidR="00A6121E" w:rsidRPr="00F064A8">
        <w:rPr>
          <w:rStyle w:val="21"/>
          <w:b w:val="0"/>
          <w:sz w:val="22"/>
          <w:szCs w:val="22"/>
        </w:rPr>
        <w:t xml:space="preserve"> –</w:t>
      </w:r>
      <w:r w:rsidR="00F541B1" w:rsidRPr="00F064A8">
        <w:rPr>
          <w:sz w:val="22"/>
          <w:szCs w:val="22"/>
        </w:rPr>
        <w:t xml:space="preserve">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F541B1" w:rsidRPr="00F064A8" w:rsidRDefault="00F064A8" w:rsidP="00700032">
      <w:pPr>
        <w:widowControl w:val="0"/>
        <w:spacing w:after="0" w:line="240" w:lineRule="auto"/>
        <w:ind w:left="851" w:right="-7" w:firstLine="720"/>
        <w:jc w:val="both"/>
        <w:rPr>
          <w:rFonts w:ascii="Times New Roman" w:eastAsia="Times New Roman" w:hAnsi="Times New Roman"/>
          <w:bCs/>
          <w:color w:val="000000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2.7. </w:t>
      </w:r>
      <w:r w:rsidR="00F541B1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>Конфликт интересов</w:t>
      </w:r>
      <w:r w:rsidR="00A6121E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 –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 xml:space="preserve">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F541B1" w:rsidRPr="00F064A8" w:rsidRDefault="00F064A8" w:rsidP="00700032">
      <w:pPr>
        <w:widowControl w:val="0"/>
        <w:spacing w:after="0" w:line="240" w:lineRule="auto"/>
        <w:ind w:left="851"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2.8. </w:t>
      </w:r>
      <w:r w:rsidR="00F541B1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Личная заинтересованность работника (представителя организации) 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6121E" w:rsidRPr="00F064A8" w:rsidRDefault="00A6121E" w:rsidP="00700032">
      <w:pPr>
        <w:widowControl w:val="0"/>
        <w:spacing w:after="0" w:line="240" w:lineRule="auto"/>
        <w:ind w:left="851" w:right="220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F541B1" w:rsidRPr="00F064A8" w:rsidRDefault="009F1CF5" w:rsidP="00700032">
      <w:pPr>
        <w:widowControl w:val="0"/>
        <w:spacing w:after="0" w:line="240" w:lineRule="auto"/>
        <w:ind w:left="851" w:right="-7" w:firstLine="720"/>
        <w:jc w:val="center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  <w:bookmarkStart w:id="1" w:name="bookmark3"/>
      <w:r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3. </w:t>
      </w:r>
      <w:r w:rsidR="00F541B1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>Основные принципы антикоррупционной деятельности организации</w:t>
      </w:r>
      <w:bookmarkEnd w:id="1"/>
    </w:p>
    <w:p w:rsidR="0011715E" w:rsidRPr="00F064A8" w:rsidRDefault="0011715E" w:rsidP="00700032">
      <w:pPr>
        <w:widowControl w:val="0"/>
        <w:spacing w:after="0" w:line="240" w:lineRule="auto"/>
        <w:ind w:left="851" w:right="-7" w:firstLine="720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</w:p>
    <w:p w:rsidR="00F541B1" w:rsidRPr="00F064A8" w:rsidRDefault="00F064A8" w:rsidP="00700032">
      <w:pPr>
        <w:widowControl w:val="0"/>
        <w:spacing w:after="0" w:line="240" w:lineRule="auto"/>
        <w:ind w:left="851" w:right="-6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>
        <w:rPr>
          <w:rFonts w:ascii="Times New Roman" w:eastAsia="Times New Roman" w:hAnsi="Times New Roman"/>
          <w:color w:val="000000"/>
          <w:lang w:eastAsia="ru-RU" w:bidi="ru-RU"/>
        </w:rPr>
        <w:t xml:space="preserve">3.1. 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Система мер противодействия коррупции в школе основывается на следующих ключевых принципах:</w:t>
      </w:r>
    </w:p>
    <w:p w:rsidR="00F541B1" w:rsidRPr="00F064A8" w:rsidRDefault="00F541B1" w:rsidP="00700032">
      <w:pPr>
        <w:widowControl w:val="0"/>
        <w:numPr>
          <w:ilvl w:val="0"/>
          <w:numId w:val="4"/>
        </w:numPr>
        <w:spacing w:after="0" w:line="240" w:lineRule="auto"/>
        <w:ind w:left="851" w:right="-6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Принцип соответствия политики организации действующему законодательству и общепринятым нормам.</w:t>
      </w:r>
    </w:p>
    <w:p w:rsidR="00F541B1" w:rsidRPr="00F064A8" w:rsidRDefault="00F541B1" w:rsidP="00700032">
      <w:pPr>
        <w:widowControl w:val="0"/>
        <w:spacing w:after="0" w:line="240" w:lineRule="auto"/>
        <w:ind w:left="851" w:right="-6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F541B1" w:rsidRPr="00F064A8" w:rsidRDefault="00F541B1" w:rsidP="00700032">
      <w:pPr>
        <w:widowControl w:val="0"/>
        <w:numPr>
          <w:ilvl w:val="0"/>
          <w:numId w:val="4"/>
        </w:numPr>
        <w:spacing w:after="0" w:line="240" w:lineRule="auto"/>
        <w:ind w:left="851" w:right="-6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Принцип личного примера руководства.</w:t>
      </w:r>
    </w:p>
    <w:p w:rsidR="00F541B1" w:rsidRPr="00F064A8" w:rsidRDefault="00F541B1" w:rsidP="00700032">
      <w:pPr>
        <w:widowControl w:val="0"/>
        <w:spacing w:after="0" w:line="240" w:lineRule="auto"/>
        <w:ind w:left="851" w:right="-6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541B1" w:rsidRPr="00F064A8" w:rsidRDefault="00F541B1" w:rsidP="00700032">
      <w:pPr>
        <w:widowControl w:val="0"/>
        <w:numPr>
          <w:ilvl w:val="0"/>
          <w:numId w:val="4"/>
        </w:numPr>
        <w:spacing w:after="0" w:line="240" w:lineRule="auto"/>
        <w:ind w:left="851" w:right="-6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Принцип вовлеченности работников.</w:t>
      </w:r>
    </w:p>
    <w:p w:rsidR="00F541B1" w:rsidRPr="00F064A8" w:rsidRDefault="00F541B1" w:rsidP="00700032">
      <w:pPr>
        <w:widowControl w:val="0"/>
        <w:spacing w:after="0" w:line="240" w:lineRule="auto"/>
        <w:ind w:left="851" w:right="-6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F541B1" w:rsidRPr="00F064A8" w:rsidRDefault="00F541B1" w:rsidP="00700032">
      <w:pPr>
        <w:widowControl w:val="0"/>
        <w:numPr>
          <w:ilvl w:val="0"/>
          <w:numId w:val="4"/>
        </w:numPr>
        <w:spacing w:after="0" w:line="240" w:lineRule="auto"/>
        <w:ind w:left="851" w:right="-6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Принцип соразмерности антикоррупционных процедур риску коррупции.</w:t>
      </w:r>
    </w:p>
    <w:p w:rsidR="00F541B1" w:rsidRPr="00F064A8" w:rsidRDefault="00F541B1" w:rsidP="00700032">
      <w:pPr>
        <w:widowControl w:val="0"/>
        <w:spacing w:after="0" w:line="240" w:lineRule="auto"/>
        <w:ind w:left="851" w:right="-6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 xml:space="preserve"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</w:t>
      </w:r>
      <w:r w:rsidRPr="00F064A8">
        <w:rPr>
          <w:rFonts w:ascii="Times New Roman" w:eastAsia="Times New Roman" w:hAnsi="Times New Roman"/>
          <w:color w:val="000000"/>
          <w:lang w:eastAsia="ru-RU" w:bidi="ru-RU"/>
        </w:rPr>
        <w:lastRenderedPageBreak/>
        <w:t>рисков.</w:t>
      </w:r>
    </w:p>
    <w:p w:rsidR="00F541B1" w:rsidRPr="00F064A8" w:rsidRDefault="00F541B1" w:rsidP="00700032">
      <w:pPr>
        <w:widowControl w:val="0"/>
        <w:numPr>
          <w:ilvl w:val="0"/>
          <w:numId w:val="4"/>
        </w:numPr>
        <w:spacing w:after="0" w:line="240" w:lineRule="auto"/>
        <w:ind w:left="851" w:right="-6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Принцип эффективности антикоррупционных процедур.</w:t>
      </w:r>
    </w:p>
    <w:p w:rsidR="00F541B1" w:rsidRPr="00F064A8" w:rsidRDefault="00F541B1" w:rsidP="00700032">
      <w:pPr>
        <w:widowControl w:val="0"/>
        <w:spacing w:after="0" w:line="240" w:lineRule="auto"/>
        <w:ind w:left="851"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F541B1" w:rsidRPr="00F064A8" w:rsidRDefault="00F541B1" w:rsidP="00700032">
      <w:pPr>
        <w:widowControl w:val="0"/>
        <w:numPr>
          <w:ilvl w:val="0"/>
          <w:numId w:val="4"/>
        </w:numPr>
        <w:spacing w:after="0" w:line="240" w:lineRule="auto"/>
        <w:ind w:left="851"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Принцип ответственности и неотвратимости наказания.</w:t>
      </w:r>
    </w:p>
    <w:p w:rsidR="00345D04" w:rsidRPr="00F064A8" w:rsidRDefault="00F541B1" w:rsidP="00700032">
      <w:pPr>
        <w:spacing w:after="0" w:line="240" w:lineRule="auto"/>
        <w:ind w:left="851" w:firstLine="720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Неотвратимость наказания для работников организации вне зависимости от</w:t>
      </w:r>
      <w:r w:rsidR="003505DD" w:rsidRPr="00F064A8">
        <w:rPr>
          <w:rFonts w:ascii="Times New Roman" w:hAnsi="Times New Roman"/>
        </w:rPr>
        <w:t xml:space="preserve"> </w:t>
      </w:r>
      <w:r w:rsidRPr="00F064A8">
        <w:rPr>
          <w:rFonts w:ascii="Times New Roman" w:hAnsi="Times New Roman"/>
        </w:rPr>
        <w:t>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F541B1" w:rsidRPr="00F064A8" w:rsidRDefault="00F541B1" w:rsidP="00AC434E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Принцип открытости.</w:t>
      </w:r>
    </w:p>
    <w:p w:rsidR="00F541B1" w:rsidRPr="00F064A8" w:rsidRDefault="00F541B1" w:rsidP="00AC43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345D04" w:rsidRPr="00F064A8" w:rsidRDefault="00F541B1" w:rsidP="00AC434E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 xml:space="preserve">Принцип постоянного контроля и регулярного мониторинга. </w:t>
      </w:r>
    </w:p>
    <w:p w:rsidR="00F541B1" w:rsidRPr="00F064A8" w:rsidRDefault="00F541B1" w:rsidP="00AC434E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A6121E" w:rsidRPr="00F064A8" w:rsidRDefault="00A6121E" w:rsidP="0032754E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F541B1" w:rsidRPr="00F064A8" w:rsidRDefault="009F1CF5" w:rsidP="009F1CF5">
      <w:pPr>
        <w:widowControl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  <w:bookmarkStart w:id="2" w:name="bookmark4"/>
      <w:r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4. </w:t>
      </w:r>
      <w:r w:rsidR="00F541B1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>Область применения политики и круг лиц, попадающих под ее действие</w:t>
      </w:r>
      <w:bookmarkEnd w:id="2"/>
    </w:p>
    <w:p w:rsidR="0011715E" w:rsidRPr="00F064A8" w:rsidRDefault="0011715E" w:rsidP="0011715E">
      <w:pPr>
        <w:widowControl w:val="0"/>
        <w:spacing w:after="0" w:line="240" w:lineRule="auto"/>
        <w:ind w:right="-7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</w:p>
    <w:p w:rsidR="00F541B1" w:rsidRPr="00F064A8" w:rsidRDefault="00F541B1" w:rsidP="0032754E">
      <w:pPr>
        <w:widowControl w:val="0"/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</w:t>
      </w:r>
    </w:p>
    <w:p w:rsidR="00A6121E" w:rsidRPr="00F064A8" w:rsidRDefault="00A6121E" w:rsidP="0032754E">
      <w:pPr>
        <w:widowControl w:val="0"/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F541B1" w:rsidRPr="00F064A8" w:rsidRDefault="009F1CF5" w:rsidP="009F1CF5">
      <w:pPr>
        <w:widowControl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  <w:bookmarkStart w:id="3" w:name="bookmark5"/>
      <w:r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5. </w:t>
      </w:r>
      <w:r w:rsidR="00F541B1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>Определение должностных лиц школы, ответственных за реализацию антикоррупционной политики</w:t>
      </w:r>
      <w:bookmarkEnd w:id="3"/>
    </w:p>
    <w:p w:rsidR="0011715E" w:rsidRPr="00F064A8" w:rsidRDefault="0011715E" w:rsidP="0011715E">
      <w:pPr>
        <w:widowControl w:val="0"/>
        <w:spacing w:after="0" w:line="240" w:lineRule="auto"/>
        <w:ind w:right="-7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</w:p>
    <w:p w:rsidR="00F541B1" w:rsidRPr="00F064A8" w:rsidRDefault="00F064A8" w:rsidP="0032754E">
      <w:pPr>
        <w:widowControl w:val="0"/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>
        <w:rPr>
          <w:rFonts w:ascii="Times New Roman" w:eastAsia="Times New Roman" w:hAnsi="Times New Roman"/>
          <w:color w:val="000000"/>
          <w:lang w:eastAsia="ru-RU" w:bidi="ru-RU"/>
        </w:rPr>
        <w:t xml:space="preserve">5.1. 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 xml:space="preserve">В </w:t>
      </w:r>
      <w:r>
        <w:rPr>
          <w:rFonts w:ascii="Times New Roman" w:eastAsia="Times New Roman" w:hAnsi="Times New Roman"/>
          <w:color w:val="000000"/>
          <w:lang w:eastAsia="ru-RU" w:bidi="ru-RU"/>
        </w:rPr>
        <w:t>Учреждении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 xml:space="preserve">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F541B1" w:rsidRPr="00F064A8" w:rsidRDefault="00F064A8" w:rsidP="0032754E">
      <w:pPr>
        <w:widowControl w:val="0"/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>
        <w:rPr>
          <w:rFonts w:ascii="Times New Roman" w:eastAsia="Times New Roman" w:hAnsi="Times New Roman"/>
          <w:color w:val="000000"/>
          <w:lang w:eastAsia="ru-RU" w:bidi="ru-RU"/>
        </w:rPr>
        <w:t xml:space="preserve">5.2. 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Задачи, функции и полномочия директора в сфере противодействия коррупции определены его должностной инструкцией.</w:t>
      </w:r>
      <w:r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Эти обязанности включают в частности:</w:t>
      </w:r>
    </w:p>
    <w:p w:rsidR="00F541B1" w:rsidRPr="00F064A8" w:rsidRDefault="00A6121E" w:rsidP="0032754E">
      <w:pPr>
        <w:widowControl w:val="0"/>
        <w:numPr>
          <w:ilvl w:val="0"/>
          <w:numId w:val="5"/>
        </w:numPr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Р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азработку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</w:t>
      </w:r>
      <w:r w:rsidR="003505DD" w:rsidRPr="00F064A8">
        <w:rPr>
          <w:rFonts w:ascii="Times New Roman" w:eastAsia="Times New Roman" w:hAnsi="Times New Roman"/>
          <w:color w:val="000000"/>
          <w:lang w:eastAsia="ru-RU" w:bidi="ru-RU"/>
        </w:rPr>
        <w:t>го поведения работников и т.д.).</w:t>
      </w:r>
    </w:p>
    <w:p w:rsidR="00F541B1" w:rsidRPr="00F064A8" w:rsidRDefault="00A6121E" w:rsidP="0032754E">
      <w:pPr>
        <w:widowControl w:val="0"/>
        <w:numPr>
          <w:ilvl w:val="0"/>
          <w:numId w:val="5"/>
        </w:numPr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П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роведение контрольных мероприятий, направленных на выявление коррупционных правонарушений раб</w:t>
      </w:r>
      <w:r w:rsidR="003505DD" w:rsidRPr="00F064A8">
        <w:rPr>
          <w:rFonts w:ascii="Times New Roman" w:eastAsia="Times New Roman" w:hAnsi="Times New Roman"/>
          <w:color w:val="000000"/>
          <w:lang w:eastAsia="ru-RU" w:bidi="ru-RU"/>
        </w:rPr>
        <w:t>отниками организации.</w:t>
      </w:r>
    </w:p>
    <w:p w:rsidR="00F541B1" w:rsidRPr="00F064A8" w:rsidRDefault="00A6121E" w:rsidP="0032754E">
      <w:pPr>
        <w:widowControl w:val="0"/>
        <w:numPr>
          <w:ilvl w:val="0"/>
          <w:numId w:val="5"/>
        </w:numPr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О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рганизацию проведе</w:t>
      </w:r>
      <w:r w:rsidR="003505DD" w:rsidRPr="00F064A8">
        <w:rPr>
          <w:rFonts w:ascii="Times New Roman" w:eastAsia="Times New Roman" w:hAnsi="Times New Roman"/>
          <w:color w:val="000000"/>
          <w:lang w:eastAsia="ru-RU" w:bidi="ru-RU"/>
        </w:rPr>
        <w:t>ния оценки коррупционных рисков.</w:t>
      </w:r>
    </w:p>
    <w:p w:rsidR="00F541B1" w:rsidRPr="00F064A8" w:rsidRDefault="00A6121E" w:rsidP="0032754E">
      <w:pPr>
        <w:widowControl w:val="0"/>
        <w:numPr>
          <w:ilvl w:val="0"/>
          <w:numId w:val="5"/>
        </w:numPr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П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</w:t>
      </w:r>
      <w:r w:rsidR="003505DD" w:rsidRPr="00F064A8">
        <w:rPr>
          <w:rFonts w:ascii="Times New Roman" w:eastAsia="Times New Roman" w:hAnsi="Times New Roman"/>
          <w:color w:val="000000"/>
          <w:lang w:eastAsia="ru-RU" w:bidi="ru-RU"/>
        </w:rPr>
        <w:t>ого учреждения или иными лицами.</w:t>
      </w:r>
    </w:p>
    <w:p w:rsidR="00F541B1" w:rsidRPr="00F064A8" w:rsidRDefault="00A6121E" w:rsidP="0032754E">
      <w:pPr>
        <w:widowControl w:val="0"/>
        <w:numPr>
          <w:ilvl w:val="0"/>
          <w:numId w:val="5"/>
        </w:numPr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О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рганизацию заполнения и рассмотрения д</w:t>
      </w:r>
      <w:r w:rsidR="003505DD" w:rsidRPr="00F064A8">
        <w:rPr>
          <w:rFonts w:ascii="Times New Roman" w:eastAsia="Times New Roman" w:hAnsi="Times New Roman"/>
          <w:color w:val="000000"/>
          <w:lang w:eastAsia="ru-RU" w:bidi="ru-RU"/>
        </w:rPr>
        <w:t>еклараций о конфликте интересов.</w:t>
      </w:r>
    </w:p>
    <w:p w:rsidR="00F541B1" w:rsidRPr="00F064A8" w:rsidRDefault="00A6121E" w:rsidP="0032754E">
      <w:pPr>
        <w:widowControl w:val="0"/>
        <w:numPr>
          <w:ilvl w:val="0"/>
          <w:numId w:val="5"/>
        </w:numPr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О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рганизацию обучающих мероприятий по вопросам профилактики и противодействия коррупции и индивидуальн</w:t>
      </w:r>
      <w:r w:rsidR="003505DD" w:rsidRPr="00F064A8">
        <w:rPr>
          <w:rFonts w:ascii="Times New Roman" w:eastAsia="Times New Roman" w:hAnsi="Times New Roman"/>
          <w:color w:val="000000"/>
          <w:lang w:eastAsia="ru-RU" w:bidi="ru-RU"/>
        </w:rPr>
        <w:t>ого консультирования работников.</w:t>
      </w:r>
    </w:p>
    <w:p w:rsidR="00F541B1" w:rsidRPr="00F064A8" w:rsidRDefault="00A6121E" w:rsidP="0032754E">
      <w:pPr>
        <w:widowControl w:val="0"/>
        <w:numPr>
          <w:ilvl w:val="0"/>
          <w:numId w:val="5"/>
        </w:numPr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О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казание содействия уполномоченным представителям контрольно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softHyphen/>
        <w:t>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</w:t>
      </w:r>
      <w:r w:rsidR="003505DD" w:rsidRPr="00F064A8">
        <w:rPr>
          <w:rFonts w:ascii="Times New Roman" w:eastAsia="Times New Roman" w:hAnsi="Times New Roman"/>
          <w:color w:val="000000"/>
          <w:lang w:eastAsia="ru-RU" w:bidi="ru-RU"/>
        </w:rPr>
        <w:t>я коррупции.</w:t>
      </w:r>
    </w:p>
    <w:p w:rsidR="00F541B1" w:rsidRPr="00F064A8" w:rsidRDefault="00A6121E" w:rsidP="0032754E">
      <w:pPr>
        <w:widowControl w:val="0"/>
        <w:numPr>
          <w:ilvl w:val="0"/>
          <w:numId w:val="5"/>
        </w:numPr>
        <w:spacing w:after="0" w:line="240" w:lineRule="auto"/>
        <w:ind w:right="-7" w:firstLine="7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О</w:t>
      </w:r>
      <w:r w:rsidR="00F541B1" w:rsidRPr="00F064A8">
        <w:rPr>
          <w:rFonts w:ascii="Times New Roman" w:eastAsia="Times New Roman" w:hAnsi="Times New Roman"/>
          <w:color w:val="000000"/>
          <w:lang w:eastAsia="ru-RU" w:bidi="ru-RU"/>
        </w:rPr>
        <w:t>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F541B1" w:rsidRPr="00F064A8" w:rsidRDefault="00F541B1" w:rsidP="0032754E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F541B1" w:rsidRPr="00F064A8" w:rsidRDefault="009F1CF5" w:rsidP="009F1CF5">
      <w:pPr>
        <w:widowControl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  <w:bookmarkStart w:id="4" w:name="bookmark6"/>
      <w:r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6. </w:t>
      </w:r>
      <w:r w:rsidR="00F541B1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  <w:bookmarkEnd w:id="4"/>
    </w:p>
    <w:p w:rsidR="0011715E" w:rsidRPr="00F064A8" w:rsidRDefault="0011715E" w:rsidP="0011715E">
      <w:pPr>
        <w:widowControl w:val="0"/>
        <w:spacing w:after="0" w:line="240" w:lineRule="auto"/>
        <w:ind w:right="-7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</w:p>
    <w:p w:rsidR="00F541B1" w:rsidRPr="00F064A8" w:rsidRDefault="00F064A8" w:rsidP="003275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="00F541B1" w:rsidRPr="00F064A8">
        <w:rPr>
          <w:rFonts w:ascii="Times New Roman" w:hAnsi="Times New Roman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F541B1" w:rsidRPr="00F064A8" w:rsidRDefault="00F064A8" w:rsidP="003275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6.2 </w:t>
      </w:r>
      <w:r w:rsidR="00F541B1" w:rsidRPr="00F064A8">
        <w:rPr>
          <w:rFonts w:ascii="Times New Roman" w:hAnsi="Times New Roman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F541B1" w:rsidRPr="00F064A8" w:rsidRDefault="00F541B1" w:rsidP="00AC434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F541B1" w:rsidRPr="00F064A8" w:rsidRDefault="00F541B1" w:rsidP="00AC434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F541B1" w:rsidRPr="00F064A8" w:rsidRDefault="00F541B1" w:rsidP="00AC434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F541B1" w:rsidRPr="00F064A8" w:rsidRDefault="00F541B1" w:rsidP="00AC434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незамедлительно информировать руководство организации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F541B1" w:rsidRPr="00F064A8" w:rsidRDefault="00F541B1" w:rsidP="00AC434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сообщить ответственному лицу о возможности возникновения либо возникшем у работника конфликте интересов.</w:t>
      </w:r>
    </w:p>
    <w:p w:rsidR="00F541B1" w:rsidRPr="00F064A8" w:rsidRDefault="00F541B1" w:rsidP="0032754E">
      <w:pPr>
        <w:spacing w:after="0" w:line="240" w:lineRule="auto"/>
        <w:ind w:firstLine="709"/>
        <w:jc w:val="both"/>
        <w:rPr>
          <w:rFonts w:ascii="Times New Roman" w:hAnsi="Times New Roman"/>
          <w:lang w:eastAsia="ru-RU" w:bidi="ru-RU"/>
        </w:rPr>
      </w:pPr>
      <w:r w:rsidRPr="00F064A8">
        <w:rPr>
          <w:rFonts w:ascii="Times New Roman" w:hAnsi="Times New Roman"/>
        </w:rPr>
        <w:t>В целях обеспечения эффективного исполнения возложенных на работников обязанностей регламентируются процедуры</w:t>
      </w:r>
      <w:r w:rsidRPr="00F064A8">
        <w:rPr>
          <w:rFonts w:ascii="Times New Roman" w:hAnsi="Times New Roman"/>
          <w:lang w:eastAsia="ru-RU" w:bidi="ru-RU"/>
        </w:rPr>
        <w:t xml:space="preserve"> их соблюдения.</w:t>
      </w:r>
    </w:p>
    <w:p w:rsidR="00F541B1" w:rsidRPr="00F064A8" w:rsidRDefault="00F541B1" w:rsidP="00AC4C97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Исходя их положений статьи 57 ТК РФ по соглашению сторон в трудовой договор, заключаемый с работником при приёме его на работу в образовательном учреждении, могут включаться права и обязанности работника и работодателя, установленные данным локальным нормативным актом</w:t>
      </w:r>
      <w:r w:rsidR="00AC4C97" w:rsidRPr="00F064A8">
        <w:rPr>
          <w:rFonts w:ascii="Times New Roman" w:eastAsia="Times New Roman" w:hAnsi="Times New Roman"/>
          <w:color w:val="000000"/>
          <w:lang w:eastAsia="ru-RU" w:bidi="ru-RU"/>
        </w:rPr>
        <w:t xml:space="preserve"> –</w:t>
      </w:r>
      <w:r w:rsidRPr="00F064A8">
        <w:rPr>
          <w:rFonts w:ascii="Times New Roman" w:eastAsia="Times New Roman" w:hAnsi="Times New Roman"/>
          <w:color w:val="000000"/>
          <w:lang w:eastAsia="ru-RU" w:bidi="ru-RU"/>
        </w:rPr>
        <w:t xml:space="preserve"> «Антикоррупционная политика».</w:t>
      </w:r>
    </w:p>
    <w:p w:rsidR="00F541B1" w:rsidRPr="00F064A8" w:rsidRDefault="00F541B1" w:rsidP="0032754E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F541B1" w:rsidRPr="00F064A8" w:rsidRDefault="00F541B1" w:rsidP="0032754E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F541B1" w:rsidRPr="00F064A8" w:rsidRDefault="009F1CF5" w:rsidP="009F1CF5">
      <w:pPr>
        <w:pStyle w:val="10"/>
        <w:shd w:val="clear" w:color="auto" w:fill="auto"/>
        <w:spacing w:line="240" w:lineRule="auto"/>
        <w:ind w:right="-7" w:firstLine="0"/>
        <w:rPr>
          <w:b w:val="0"/>
          <w:sz w:val="22"/>
          <w:szCs w:val="22"/>
        </w:rPr>
      </w:pPr>
      <w:bookmarkStart w:id="5" w:name="bookmark7"/>
      <w:r w:rsidRPr="00F064A8">
        <w:rPr>
          <w:b w:val="0"/>
          <w:sz w:val="22"/>
          <w:szCs w:val="22"/>
        </w:rPr>
        <w:t xml:space="preserve">7. </w:t>
      </w:r>
      <w:r w:rsidR="00A6121E" w:rsidRPr="00F064A8">
        <w:rPr>
          <w:b w:val="0"/>
          <w:sz w:val="22"/>
          <w:szCs w:val="22"/>
        </w:rPr>
        <w:t>Перечень</w:t>
      </w:r>
      <w:r w:rsidR="00F541B1" w:rsidRPr="00F064A8">
        <w:rPr>
          <w:b w:val="0"/>
          <w:sz w:val="22"/>
          <w:szCs w:val="22"/>
        </w:rPr>
        <w:t xml:space="preserve"> реализуемых в школе антикоррупционных мероприятий, стандартов и процедур и порядок их выполнения (применения)</w:t>
      </w:r>
      <w:bookmarkEnd w:id="5"/>
    </w:p>
    <w:p w:rsidR="00F541B1" w:rsidRPr="00F064A8" w:rsidRDefault="00F541B1" w:rsidP="0032754E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654"/>
      </w:tblGrid>
      <w:tr w:rsidR="003D1AF2" w:rsidRPr="00F064A8" w:rsidTr="009A204A">
        <w:trPr>
          <w:cantSplit/>
          <w:trHeight w:val="57"/>
          <w:tblHeader/>
        </w:trPr>
        <w:tc>
          <w:tcPr>
            <w:tcW w:w="1995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 w:bidi="ru-RU"/>
              </w:rPr>
              <w:t>Направление</w:t>
            </w: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 w:bidi="ru-RU"/>
              </w:rPr>
              <w:t>Мероприятие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 w:val="restart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Разработка и принятие антикоррупционной политики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Разработка и утверждение плана реализации антикоррупционных мероприятий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Style w:val="211pt"/>
                <w:rFonts w:eastAsia="Calibri"/>
              </w:rPr>
              <w:t>Введение антикоррупционных положений в трудовые договоры работников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 w:val="restart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 w:val="restart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Обучение и</w:t>
            </w:r>
          </w:p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информирование</w:t>
            </w:r>
          </w:p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работников</w:t>
            </w: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541B1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A6121E" w:rsidRPr="00F064A8" w:rsidTr="009A204A">
        <w:trPr>
          <w:cantSplit/>
          <w:trHeight w:val="880"/>
        </w:trPr>
        <w:tc>
          <w:tcPr>
            <w:tcW w:w="1995" w:type="dxa"/>
            <w:vMerge w:val="restart"/>
            <w:shd w:val="clear" w:color="auto" w:fill="FFFFFF"/>
          </w:tcPr>
          <w:p w:rsidR="00F541B1" w:rsidRPr="00F064A8" w:rsidRDefault="00F541B1" w:rsidP="009A204A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064A8">
              <w:rPr>
                <w:rStyle w:val="211pt"/>
                <w:rFonts w:eastAsia="Calibri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Style w:val="211pt"/>
                <w:rFonts w:eastAsia="Calibri"/>
                <w:shd w:val="clear" w:color="auto" w:fill="auto"/>
              </w:rPr>
              <w:t>Осуществление регулярного контроля соблюдения внутренних процедур</w:t>
            </w:r>
          </w:p>
        </w:tc>
      </w:tr>
      <w:tr w:rsidR="00A6121E" w:rsidRPr="00F064A8" w:rsidTr="009A204A">
        <w:trPr>
          <w:cantSplit/>
          <w:trHeight w:val="881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Style w:val="211pt"/>
                <w:rFonts w:eastAsia="Calibri"/>
                <w:shd w:val="clear" w:color="auto" w:fill="auto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A6121E" w:rsidRPr="00F064A8" w:rsidTr="009A204A">
        <w:trPr>
          <w:cantSplit/>
          <w:trHeight w:val="57"/>
        </w:trPr>
        <w:tc>
          <w:tcPr>
            <w:tcW w:w="1995" w:type="dxa"/>
            <w:vMerge w:val="restart"/>
            <w:shd w:val="clear" w:color="auto" w:fill="FFFFFF"/>
          </w:tcPr>
          <w:p w:rsidR="00F541B1" w:rsidRPr="00F064A8" w:rsidRDefault="00F541B1" w:rsidP="009A204A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064A8">
              <w:rPr>
                <w:rStyle w:val="211pt"/>
                <w:rFonts w:eastAsia="Calibri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Style w:val="211pt"/>
                <w:rFonts w:eastAsia="Calibri"/>
                <w:shd w:val="clear" w:color="auto" w:fill="auto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A6121E" w:rsidRPr="00F064A8" w:rsidTr="009A204A">
        <w:trPr>
          <w:cantSplit/>
          <w:trHeight w:val="57"/>
        </w:trPr>
        <w:tc>
          <w:tcPr>
            <w:tcW w:w="1995" w:type="dxa"/>
            <w:vMerge/>
            <w:shd w:val="clear" w:color="auto" w:fill="FFFFFF"/>
          </w:tcPr>
          <w:p w:rsidR="00F541B1" w:rsidRPr="00F064A8" w:rsidRDefault="00F541B1" w:rsidP="009A20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4" w:type="dxa"/>
            <w:shd w:val="clear" w:color="auto" w:fill="FFFFFF"/>
          </w:tcPr>
          <w:p w:rsidR="00F541B1" w:rsidRPr="00F064A8" w:rsidRDefault="00F541B1" w:rsidP="009A2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F064A8">
              <w:rPr>
                <w:rStyle w:val="211pt"/>
                <w:rFonts w:eastAsia="Calibri"/>
                <w:shd w:val="clear" w:color="auto" w:fill="auto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:rsidR="00F541B1" w:rsidRPr="00F064A8" w:rsidRDefault="00F541B1" w:rsidP="0032754E">
      <w:pPr>
        <w:widowControl w:val="0"/>
        <w:spacing w:after="0" w:line="240" w:lineRule="auto"/>
        <w:ind w:right="-7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В качестве приложения к антикоррупционной политике в школе ежегодно утверждается план реализации антикоррупционных мероприятий.</w:t>
      </w:r>
    </w:p>
    <w:p w:rsidR="00F541B1" w:rsidRPr="00F064A8" w:rsidRDefault="00F541B1" w:rsidP="0032754E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F541B1" w:rsidRPr="00F064A8" w:rsidRDefault="009F1CF5" w:rsidP="009F1CF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  <w:bookmarkStart w:id="6" w:name="bookmark8"/>
      <w:r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8. </w:t>
      </w:r>
      <w:r w:rsidR="00F541B1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>Оценка коррупционных рисков</w:t>
      </w:r>
      <w:bookmarkEnd w:id="6"/>
    </w:p>
    <w:p w:rsidR="0011715E" w:rsidRPr="00F064A8" w:rsidRDefault="0011715E" w:rsidP="0011715E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</w:p>
    <w:p w:rsidR="00F541B1" w:rsidRPr="00F064A8" w:rsidRDefault="00F541B1" w:rsidP="003275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  <w:lang w:eastAsia="ru-RU" w:bidi="ru-RU"/>
        </w:rPr>
        <w:t xml:space="preserve">Целью </w:t>
      </w:r>
      <w:r w:rsidRPr="00F064A8">
        <w:rPr>
          <w:rFonts w:ascii="Times New Roman" w:hAnsi="Times New Roman"/>
        </w:rPr>
        <w:t>оценки коррупционных рисков является определение конкретных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F541B1" w:rsidRPr="00F064A8" w:rsidRDefault="00F541B1" w:rsidP="003275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F541B1" w:rsidRPr="00F064A8" w:rsidRDefault="00F541B1" w:rsidP="003275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</w:p>
    <w:p w:rsidR="00F541B1" w:rsidRPr="00F064A8" w:rsidRDefault="00F541B1" w:rsidP="003275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Порядок проведения оценки коррупционных рисков:</w:t>
      </w:r>
    </w:p>
    <w:p w:rsidR="00F541B1" w:rsidRPr="00F064A8" w:rsidRDefault="00F541B1" w:rsidP="0032754E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 w:rsidRPr="00F064A8">
        <w:rPr>
          <w:rFonts w:ascii="Times New Roman" w:hAnsi="Times New Roman"/>
        </w:rPr>
        <w:t>подпроцессы</w:t>
      </w:r>
      <w:proofErr w:type="spellEnd"/>
      <w:r w:rsidRPr="00F064A8">
        <w:rPr>
          <w:rFonts w:ascii="Times New Roman" w:hAnsi="Times New Roman"/>
        </w:rPr>
        <w:t>);</w:t>
      </w:r>
    </w:p>
    <w:p w:rsidR="00F541B1" w:rsidRPr="00F064A8" w:rsidRDefault="00F541B1" w:rsidP="00353577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выделить «критические точки»</w:t>
      </w:r>
      <w:r w:rsidR="00353577" w:rsidRPr="00F064A8">
        <w:rPr>
          <w:rFonts w:ascii="Times New Roman" w:hAnsi="Times New Roman"/>
        </w:rPr>
        <w:t xml:space="preserve"> </w:t>
      </w:r>
      <w:r w:rsidR="00353577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>–</w:t>
      </w:r>
      <w:r w:rsidR="00353577" w:rsidRPr="00F064A8">
        <w:rPr>
          <w:rFonts w:ascii="Times New Roman" w:hAnsi="Times New Roman"/>
        </w:rPr>
        <w:t xml:space="preserve"> </w:t>
      </w:r>
      <w:r w:rsidRPr="00F064A8">
        <w:rPr>
          <w:rFonts w:ascii="Times New Roman" w:hAnsi="Times New Roman"/>
        </w:rPr>
        <w:t>для каждого процесса и определить те элементы (</w:t>
      </w:r>
      <w:proofErr w:type="spellStart"/>
      <w:r w:rsidRPr="00F064A8">
        <w:rPr>
          <w:rFonts w:ascii="Times New Roman" w:hAnsi="Times New Roman"/>
        </w:rPr>
        <w:t>подпроцессы</w:t>
      </w:r>
      <w:proofErr w:type="spellEnd"/>
      <w:r w:rsidRPr="00F064A8">
        <w:rPr>
          <w:rFonts w:ascii="Times New Roman" w:hAnsi="Times New Roman"/>
        </w:rPr>
        <w:t>), при реализации которых наиболее вероятно возникновение коррупционных правонарушений.</w:t>
      </w:r>
    </w:p>
    <w:p w:rsidR="00F541B1" w:rsidRPr="00F064A8" w:rsidRDefault="00F541B1" w:rsidP="003275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 xml:space="preserve">Для каждого </w:t>
      </w:r>
      <w:proofErr w:type="spellStart"/>
      <w:r w:rsidRPr="00F064A8">
        <w:rPr>
          <w:rFonts w:ascii="Times New Roman" w:hAnsi="Times New Roman"/>
        </w:rPr>
        <w:t>подпроцесса</w:t>
      </w:r>
      <w:proofErr w:type="spellEnd"/>
      <w:r w:rsidRPr="00F064A8">
        <w:rPr>
          <w:rFonts w:ascii="Times New Roman" w:hAnsi="Times New Roman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F541B1" w:rsidRPr="00F064A8" w:rsidRDefault="00F541B1" w:rsidP="0032754E">
      <w:pPr>
        <w:pStyle w:val="a8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F541B1" w:rsidRPr="00F064A8" w:rsidRDefault="00F541B1" w:rsidP="0032754E">
      <w:pPr>
        <w:pStyle w:val="a8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 xml:space="preserve">должности в организации, которые являются «ключевыми» для совершения коррупционного правонарушения </w:t>
      </w:r>
      <w:r w:rsidR="00353577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>–</w:t>
      </w:r>
      <w:r w:rsidRPr="00F064A8">
        <w:rPr>
          <w:rFonts w:ascii="Times New Roman" w:hAnsi="Times New Roman"/>
        </w:rPr>
        <w:t xml:space="preserve"> участие каких должностных лиц организации необходимо, чтобы совершение коррупционного правонарушения стало возможным;</w:t>
      </w:r>
    </w:p>
    <w:p w:rsidR="00F541B1" w:rsidRPr="00F064A8" w:rsidRDefault="00F541B1" w:rsidP="0032754E">
      <w:pPr>
        <w:pStyle w:val="a8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вероятные формы осуществления коррупционных платежей.</w:t>
      </w:r>
    </w:p>
    <w:p w:rsidR="00F541B1" w:rsidRPr="00F064A8" w:rsidRDefault="00F541B1" w:rsidP="003535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64A8">
        <w:rPr>
          <w:rFonts w:ascii="Times New Roman" w:hAnsi="Times New Roman"/>
        </w:rPr>
        <w:t>На основании проведенного анализа подготовить «карту коррупционных рисков организации»</w:t>
      </w:r>
      <w:r w:rsidR="00353577" w:rsidRPr="00F064A8">
        <w:rPr>
          <w:rFonts w:ascii="Times New Roman" w:hAnsi="Times New Roman"/>
        </w:rPr>
        <w:t xml:space="preserve"> </w:t>
      </w:r>
      <w:r w:rsidR="00353577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>–</w:t>
      </w:r>
      <w:r w:rsidR="00353577" w:rsidRPr="00F064A8">
        <w:rPr>
          <w:rFonts w:ascii="Times New Roman" w:hAnsi="Times New Roman"/>
        </w:rPr>
        <w:t xml:space="preserve"> </w:t>
      </w:r>
      <w:r w:rsidRPr="00F064A8">
        <w:rPr>
          <w:rFonts w:ascii="Times New Roman" w:hAnsi="Times New Roman"/>
        </w:rPr>
        <w:t>сводное описание «критических точек» и возможных коррупционных правонарушений.</w:t>
      </w:r>
    </w:p>
    <w:p w:rsidR="00F541B1" w:rsidRPr="00F064A8" w:rsidRDefault="00F541B1" w:rsidP="0032754E">
      <w:pPr>
        <w:spacing w:after="0" w:line="240" w:lineRule="auto"/>
        <w:ind w:firstLine="709"/>
        <w:jc w:val="both"/>
        <w:rPr>
          <w:rFonts w:ascii="Times New Roman" w:hAnsi="Times New Roman"/>
          <w:lang w:eastAsia="ru-RU" w:bidi="ru-RU"/>
        </w:rPr>
      </w:pPr>
      <w:r w:rsidRPr="00F064A8">
        <w:rPr>
          <w:rFonts w:ascii="Times New Roman" w:hAnsi="Times New Roman"/>
        </w:rPr>
        <w:t>Разработать комплекс</w:t>
      </w:r>
      <w:r w:rsidRPr="00F064A8">
        <w:rPr>
          <w:rFonts w:ascii="Times New Roman" w:hAnsi="Times New Roman"/>
          <w:lang w:eastAsia="ru-RU" w:bidi="ru-RU"/>
        </w:rPr>
        <w:t xml:space="preserve"> мер по устранению или минимизации коррупционных рисков.</w:t>
      </w:r>
    </w:p>
    <w:p w:rsidR="00F541B1" w:rsidRPr="00F064A8" w:rsidRDefault="00F541B1" w:rsidP="0032754E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F541B1" w:rsidRPr="00F064A8" w:rsidRDefault="009F1CF5" w:rsidP="009F1CF5">
      <w:pPr>
        <w:widowControl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  <w:bookmarkStart w:id="7" w:name="bookmark9"/>
      <w:r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9. </w:t>
      </w:r>
      <w:r w:rsidR="00F541B1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>Обучение работников по вопросам профилактики и противодействия коррупции</w:t>
      </w:r>
      <w:bookmarkEnd w:id="7"/>
    </w:p>
    <w:p w:rsidR="0011715E" w:rsidRPr="00F064A8" w:rsidRDefault="0011715E" w:rsidP="0011715E">
      <w:pPr>
        <w:widowControl w:val="0"/>
        <w:spacing w:after="0" w:line="240" w:lineRule="auto"/>
        <w:ind w:right="-7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</w:p>
    <w:p w:rsidR="00F541B1" w:rsidRPr="00F064A8" w:rsidRDefault="00F541B1" w:rsidP="0032754E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Обучение проводит лицо, ответственное за профилактику коррупционных мероприятий по следующей тематике:</w:t>
      </w:r>
    </w:p>
    <w:p w:rsidR="00F541B1" w:rsidRPr="00F064A8" w:rsidRDefault="00F541B1" w:rsidP="0032754E">
      <w:pPr>
        <w:widowControl w:val="0"/>
        <w:numPr>
          <w:ilvl w:val="0"/>
          <w:numId w:val="12"/>
        </w:numPr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коррупция в государственном и частном секторах экономики (теоретическая);</w:t>
      </w:r>
    </w:p>
    <w:p w:rsidR="00F541B1" w:rsidRPr="00F064A8" w:rsidRDefault="00F541B1" w:rsidP="0032754E">
      <w:pPr>
        <w:widowControl w:val="0"/>
        <w:numPr>
          <w:ilvl w:val="0"/>
          <w:numId w:val="12"/>
        </w:numPr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юридическая ответственность за совершение коррупционных правонарушений;</w:t>
      </w:r>
    </w:p>
    <w:p w:rsidR="00A6121E" w:rsidRPr="00F064A8" w:rsidRDefault="00F541B1" w:rsidP="0032754E">
      <w:pPr>
        <w:widowControl w:val="0"/>
        <w:numPr>
          <w:ilvl w:val="0"/>
          <w:numId w:val="12"/>
        </w:numPr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ознакомление с требованиями законодательства и внутренними</w:t>
      </w:r>
      <w:r w:rsidR="00A6121E" w:rsidRPr="00F064A8">
        <w:rPr>
          <w:rFonts w:ascii="Times New Roman" w:eastAsia="Times New Roman" w:hAnsi="Times New Roman"/>
          <w:color w:val="000000"/>
          <w:lang w:eastAsia="ru-RU" w:bidi="ru-RU"/>
        </w:rPr>
        <w:t xml:space="preserve"> документами организации по вопросам противодействия коррупции и порядком их применения в деятельности организации (прикладная);</w:t>
      </w:r>
    </w:p>
    <w:p w:rsidR="00A6121E" w:rsidRPr="00F064A8" w:rsidRDefault="00A6121E" w:rsidP="0032754E">
      <w:pPr>
        <w:widowControl w:val="0"/>
        <w:numPr>
          <w:ilvl w:val="0"/>
          <w:numId w:val="12"/>
        </w:numPr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выявление и разрешение конфликта интересов при выполнении трудовых обязанностей (прикладная);</w:t>
      </w:r>
    </w:p>
    <w:p w:rsidR="00A6121E" w:rsidRPr="00F064A8" w:rsidRDefault="00A6121E" w:rsidP="0032754E">
      <w:pPr>
        <w:widowControl w:val="0"/>
        <w:numPr>
          <w:ilvl w:val="0"/>
          <w:numId w:val="12"/>
        </w:numPr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A6121E" w:rsidRPr="00F064A8" w:rsidRDefault="00A6121E" w:rsidP="0032754E">
      <w:pPr>
        <w:widowControl w:val="0"/>
        <w:numPr>
          <w:ilvl w:val="0"/>
          <w:numId w:val="12"/>
        </w:numPr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взаимодействие с правоохранительными органами по вопросам профилактики и противодействия коррупции (прикладная).</w:t>
      </w:r>
    </w:p>
    <w:p w:rsidR="00A6121E" w:rsidRPr="00F064A8" w:rsidRDefault="00A6121E" w:rsidP="0032754E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Возможны следующие виды обучения:</w:t>
      </w:r>
    </w:p>
    <w:p w:rsidR="00A6121E" w:rsidRPr="00F064A8" w:rsidRDefault="00A6121E" w:rsidP="0032754E">
      <w:pPr>
        <w:widowControl w:val="0"/>
        <w:numPr>
          <w:ilvl w:val="0"/>
          <w:numId w:val="12"/>
        </w:numPr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обучение по вопросам профилактики и противодействия коррупции непосредственно после приема на работу;</w:t>
      </w:r>
    </w:p>
    <w:p w:rsidR="00A6121E" w:rsidRPr="00F064A8" w:rsidRDefault="00A6121E" w:rsidP="0032754E">
      <w:pPr>
        <w:widowControl w:val="0"/>
        <w:numPr>
          <w:ilvl w:val="0"/>
          <w:numId w:val="12"/>
        </w:numPr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A6121E" w:rsidRPr="00F064A8" w:rsidRDefault="00A6121E" w:rsidP="0032754E">
      <w:pPr>
        <w:widowControl w:val="0"/>
        <w:numPr>
          <w:ilvl w:val="0"/>
          <w:numId w:val="12"/>
        </w:numPr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A6121E" w:rsidRPr="00F064A8" w:rsidRDefault="00A6121E" w:rsidP="0032754E">
      <w:pPr>
        <w:widowControl w:val="0"/>
        <w:numPr>
          <w:ilvl w:val="0"/>
          <w:numId w:val="12"/>
        </w:numPr>
        <w:spacing w:after="0" w:line="240" w:lineRule="auto"/>
        <w:ind w:left="0" w:right="-7" w:firstLine="709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 Консультирование по вопросам противодействия коррупции обычно осуществляется в индивидуальном порядке.</w:t>
      </w:r>
    </w:p>
    <w:p w:rsidR="004D7413" w:rsidRPr="00F064A8" w:rsidRDefault="004D7413" w:rsidP="0032754E">
      <w:pPr>
        <w:widowControl w:val="0"/>
        <w:spacing w:after="0" w:line="240" w:lineRule="auto"/>
        <w:ind w:left="709" w:right="-7"/>
        <w:rPr>
          <w:rFonts w:ascii="Times New Roman" w:eastAsia="Times New Roman" w:hAnsi="Times New Roman"/>
          <w:color w:val="000000"/>
          <w:lang w:eastAsia="ru-RU" w:bidi="ru-RU"/>
        </w:rPr>
      </w:pPr>
    </w:p>
    <w:p w:rsidR="00A6121E" w:rsidRPr="00F064A8" w:rsidRDefault="009F1CF5" w:rsidP="009F1CF5">
      <w:pPr>
        <w:widowControl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  <w:bookmarkStart w:id="8" w:name="bookmark10"/>
      <w:r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10. </w:t>
      </w:r>
      <w:r w:rsidR="00A6121E" w:rsidRPr="00F064A8">
        <w:rPr>
          <w:rFonts w:ascii="Times New Roman" w:eastAsia="Times New Roman" w:hAnsi="Times New Roman"/>
          <w:bCs/>
          <w:color w:val="000000"/>
          <w:lang w:eastAsia="ru-RU" w:bidi="ru-RU"/>
        </w:rPr>
        <w:t>Порядок пересмотра и внесения изменений в антикоррупционную политику организации</w:t>
      </w:r>
      <w:bookmarkEnd w:id="8"/>
    </w:p>
    <w:p w:rsidR="0011715E" w:rsidRPr="00F064A8" w:rsidRDefault="0011715E" w:rsidP="0011715E">
      <w:pPr>
        <w:widowControl w:val="0"/>
        <w:spacing w:after="0" w:line="240" w:lineRule="auto"/>
        <w:ind w:right="-7"/>
        <w:outlineLvl w:val="0"/>
        <w:rPr>
          <w:rFonts w:ascii="Times New Roman" w:eastAsia="Times New Roman" w:hAnsi="Times New Roman"/>
          <w:bCs/>
          <w:color w:val="000000"/>
          <w:lang w:eastAsia="ru-RU" w:bidi="ru-RU"/>
        </w:rPr>
      </w:pPr>
    </w:p>
    <w:p w:rsidR="00A6121E" w:rsidRPr="00F064A8" w:rsidRDefault="00A6121E" w:rsidP="0032754E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F064A8">
        <w:rPr>
          <w:rFonts w:ascii="Times New Roman" w:eastAsia="Times New Roman" w:hAnsi="Times New Roman"/>
          <w:color w:val="000000"/>
          <w:lang w:eastAsia="ru-RU" w:bidi="ru-RU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F541B1" w:rsidRPr="00F064A8" w:rsidRDefault="00F541B1" w:rsidP="0032754E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F541B1" w:rsidRPr="00F064A8" w:rsidRDefault="00F541B1" w:rsidP="0032754E">
      <w:pPr>
        <w:widowControl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F541B1" w:rsidRPr="00F064A8" w:rsidRDefault="00F541B1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53577" w:rsidRPr="00F064A8" w:rsidRDefault="00353577">
      <w:pPr>
        <w:rPr>
          <w:rFonts w:ascii="Times New Roman" w:hAnsi="Times New Roman"/>
          <w:lang w:eastAsia="ru-RU"/>
        </w:rPr>
      </w:pPr>
      <w:r w:rsidRPr="00F064A8">
        <w:rPr>
          <w:rFonts w:ascii="Times New Roman" w:hAnsi="Times New Roman"/>
          <w:lang w:eastAsia="ru-RU"/>
        </w:rPr>
        <w:br w:type="page"/>
      </w:r>
    </w:p>
    <w:p w:rsidR="003D1AF2" w:rsidRPr="00F064A8" w:rsidRDefault="003D1AF2" w:rsidP="0032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064A8">
        <w:rPr>
          <w:rFonts w:ascii="Times New Roman" w:hAnsi="Times New Roman"/>
          <w:lang w:eastAsia="ru-RU"/>
        </w:rPr>
        <w:lastRenderedPageBreak/>
        <w:t xml:space="preserve">ЛИСТ ОЗНАКОМЛЕНИЯ </w:t>
      </w:r>
    </w:p>
    <w:p w:rsidR="003D1AF2" w:rsidRPr="00F064A8" w:rsidRDefault="003D1AF2" w:rsidP="0032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064A8">
        <w:rPr>
          <w:rFonts w:ascii="Times New Roman" w:hAnsi="Times New Roman"/>
          <w:lang w:eastAsia="ru-RU"/>
        </w:rPr>
        <w:t xml:space="preserve">с Положением об </w:t>
      </w:r>
      <w:r w:rsidRPr="00F064A8">
        <w:rPr>
          <w:rFonts w:ascii="Times New Roman" w:hAnsi="Times New Roman"/>
        </w:rPr>
        <w:t>антикоррупционной политике</w:t>
      </w:r>
      <w:r w:rsidRPr="00F064A8">
        <w:rPr>
          <w:rFonts w:ascii="Times New Roman" w:hAnsi="Times New Roman"/>
        </w:rPr>
        <w:br/>
        <w:t>муниципального бюджетного учреждения дополнительного образования</w:t>
      </w:r>
      <w:r w:rsidRPr="00F064A8">
        <w:rPr>
          <w:rFonts w:ascii="Times New Roman" w:hAnsi="Times New Roman"/>
        </w:rPr>
        <w:br/>
        <w:t>«</w:t>
      </w:r>
      <w:r w:rsidR="009F1CF5" w:rsidRPr="00F064A8">
        <w:rPr>
          <w:rFonts w:ascii="Times New Roman" w:hAnsi="Times New Roman"/>
        </w:rPr>
        <w:t>Талнахская</w:t>
      </w:r>
      <w:r w:rsidRPr="00F064A8">
        <w:rPr>
          <w:rFonts w:ascii="Times New Roman" w:hAnsi="Times New Roman"/>
        </w:rPr>
        <w:t xml:space="preserve"> детская школа искусств»</w:t>
      </w:r>
      <w:r w:rsidRPr="00F064A8">
        <w:rPr>
          <w:rFonts w:ascii="Times New Roman" w:hAnsi="Times New Roman"/>
          <w:lang w:eastAsia="ru-RU"/>
        </w:rPr>
        <w:t xml:space="preserve">, </w:t>
      </w:r>
    </w:p>
    <w:p w:rsidR="003D1AF2" w:rsidRPr="00F064A8" w:rsidRDefault="003D1AF2" w:rsidP="0032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064A8">
        <w:rPr>
          <w:rFonts w:ascii="Times New Roman" w:hAnsi="Times New Roman"/>
          <w:lang w:eastAsia="ru-RU"/>
        </w:rPr>
        <w:t xml:space="preserve">утвержденным приказом </w:t>
      </w:r>
      <w:r w:rsidR="009F1CF5" w:rsidRPr="00F064A8">
        <w:rPr>
          <w:rFonts w:ascii="Times New Roman" w:hAnsi="Times New Roman"/>
          <w:lang w:eastAsia="ru-RU"/>
        </w:rPr>
        <w:t xml:space="preserve">и. о. </w:t>
      </w:r>
      <w:r w:rsidRPr="00F064A8">
        <w:rPr>
          <w:rFonts w:ascii="Times New Roman" w:hAnsi="Times New Roman"/>
          <w:lang w:eastAsia="ru-RU"/>
        </w:rPr>
        <w:t xml:space="preserve">директора </w:t>
      </w:r>
      <w:r w:rsidRPr="00F064A8">
        <w:rPr>
          <w:rFonts w:ascii="Times New Roman" w:hAnsi="Times New Roman"/>
        </w:rPr>
        <w:t xml:space="preserve">от </w:t>
      </w:r>
      <w:sdt>
        <w:sdtPr>
          <w:rPr>
            <w:rFonts w:ascii="Times New Roman" w:hAnsi="Times New Roman"/>
          </w:rPr>
          <w:id w:val="3506969"/>
          <w:placeholder>
            <w:docPart w:val="0AB54EBFC7714364AAB4C2EA5756A061"/>
          </w:placeholder>
          <w:date w:fullDate="2021-12-0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03C12">
            <w:rPr>
              <w:rFonts w:ascii="Times New Roman" w:hAnsi="Times New Roman"/>
            </w:rPr>
            <w:t>3 декабря 2021 г.</w:t>
          </w:r>
        </w:sdtContent>
      </w:sdt>
      <w:r w:rsidR="00D03C12">
        <w:rPr>
          <w:rFonts w:ascii="Times New Roman" w:hAnsi="Times New Roman"/>
        </w:rPr>
        <w:t xml:space="preserve"> № 01-09</w:t>
      </w:r>
      <w:r w:rsidRPr="00F064A8">
        <w:rPr>
          <w:rFonts w:ascii="Times New Roman" w:hAnsi="Times New Roman"/>
        </w:rPr>
        <w:t>/</w:t>
      </w:r>
      <w:r w:rsidR="00D03C12">
        <w:rPr>
          <w:rFonts w:ascii="Times New Roman" w:hAnsi="Times New Roman"/>
        </w:rPr>
        <w:t>172</w:t>
      </w:r>
    </w:p>
    <w:p w:rsidR="001D346F" w:rsidRPr="00F064A8" w:rsidRDefault="001D346F" w:rsidP="0032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D1AF2" w:rsidRPr="00F064A8" w:rsidRDefault="003D1AF2" w:rsidP="0032754E">
      <w:pPr>
        <w:widowControl w:val="0"/>
        <w:spacing w:after="0" w:line="240" w:lineRule="auto"/>
        <w:ind w:right="-7"/>
        <w:rPr>
          <w:rFonts w:ascii="Times New Roman" w:eastAsia="Times New Roman" w:hAnsi="Times New Roman"/>
          <w:color w:val="000000"/>
          <w:sz w:val="2"/>
          <w:szCs w:val="2"/>
          <w:lang w:eastAsia="ru-RU" w:bidi="ru-RU"/>
        </w:rPr>
      </w:pPr>
    </w:p>
    <w:sectPr w:rsidR="003D1AF2" w:rsidRPr="00F064A8" w:rsidSect="006A5EE2">
      <w:headerReference w:type="default" r:id="rId8"/>
      <w:pgSz w:w="11900" w:h="16840"/>
      <w:pgMar w:top="1134" w:right="567" w:bottom="1134" w:left="1701" w:header="34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4E8" w:rsidRDefault="004E04E8" w:rsidP="00A6121E">
      <w:pPr>
        <w:spacing w:after="0" w:line="240" w:lineRule="auto"/>
      </w:pPr>
      <w:r>
        <w:separator/>
      </w:r>
    </w:p>
  </w:endnote>
  <w:endnote w:type="continuationSeparator" w:id="0">
    <w:p w:rsidR="004E04E8" w:rsidRDefault="004E04E8" w:rsidP="00A6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4E8" w:rsidRDefault="004E04E8" w:rsidP="00A6121E">
      <w:pPr>
        <w:spacing w:after="0" w:line="240" w:lineRule="auto"/>
      </w:pPr>
      <w:r>
        <w:separator/>
      </w:r>
    </w:p>
  </w:footnote>
  <w:footnote w:type="continuationSeparator" w:id="0">
    <w:p w:rsidR="004E04E8" w:rsidRDefault="004E04E8" w:rsidP="00A6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68626"/>
      <w:docPartObj>
        <w:docPartGallery w:val="Page Numbers (Top of Page)"/>
        <w:docPartUnique/>
      </w:docPartObj>
    </w:sdtPr>
    <w:sdtEndPr/>
    <w:sdtContent>
      <w:p w:rsidR="003505DD" w:rsidRDefault="00FC6F17">
        <w:pPr>
          <w:pStyle w:val="a4"/>
          <w:jc w:val="center"/>
        </w:pPr>
        <w:r w:rsidRPr="003D1AF2">
          <w:rPr>
            <w:sz w:val="20"/>
            <w:szCs w:val="20"/>
          </w:rPr>
          <w:fldChar w:fldCharType="begin"/>
        </w:r>
        <w:r w:rsidR="003505DD" w:rsidRPr="003D1AF2">
          <w:rPr>
            <w:sz w:val="20"/>
            <w:szCs w:val="20"/>
          </w:rPr>
          <w:instrText xml:space="preserve"> PAGE   \* MERGEFORMAT </w:instrText>
        </w:r>
        <w:r w:rsidRPr="003D1AF2">
          <w:rPr>
            <w:sz w:val="20"/>
            <w:szCs w:val="20"/>
          </w:rPr>
          <w:fldChar w:fldCharType="separate"/>
        </w:r>
        <w:r w:rsidR="00700032">
          <w:rPr>
            <w:noProof/>
            <w:sz w:val="20"/>
            <w:szCs w:val="20"/>
          </w:rPr>
          <w:t>2</w:t>
        </w:r>
        <w:r w:rsidRPr="003D1AF2">
          <w:rPr>
            <w:sz w:val="20"/>
            <w:szCs w:val="20"/>
          </w:rPr>
          <w:fldChar w:fldCharType="end"/>
        </w:r>
      </w:p>
    </w:sdtContent>
  </w:sdt>
  <w:p w:rsidR="003505DD" w:rsidRDefault="003505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0E02"/>
    <w:multiLevelType w:val="hybridMultilevel"/>
    <w:tmpl w:val="2F926142"/>
    <w:lvl w:ilvl="0" w:tplc="A83EF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24028B"/>
    <w:multiLevelType w:val="multilevel"/>
    <w:tmpl w:val="8D44D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3F3D8D"/>
    <w:multiLevelType w:val="multilevel"/>
    <w:tmpl w:val="CFDA8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A75E0"/>
    <w:multiLevelType w:val="multilevel"/>
    <w:tmpl w:val="C1BAA87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5D34B5"/>
    <w:multiLevelType w:val="multilevel"/>
    <w:tmpl w:val="A6DAA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C11F0E"/>
    <w:multiLevelType w:val="hybridMultilevel"/>
    <w:tmpl w:val="38404580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FA57B3"/>
    <w:multiLevelType w:val="multilevel"/>
    <w:tmpl w:val="A48280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7B4884"/>
    <w:multiLevelType w:val="multilevel"/>
    <w:tmpl w:val="171CE7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430D5D"/>
    <w:multiLevelType w:val="hybridMultilevel"/>
    <w:tmpl w:val="A53A3E6C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A21C92"/>
    <w:multiLevelType w:val="hybridMultilevel"/>
    <w:tmpl w:val="3C167982"/>
    <w:lvl w:ilvl="0" w:tplc="09486DFA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F3B00"/>
    <w:multiLevelType w:val="hybridMultilevel"/>
    <w:tmpl w:val="761A2938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BB2F91"/>
    <w:multiLevelType w:val="multilevel"/>
    <w:tmpl w:val="D6E2285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D03091"/>
    <w:multiLevelType w:val="hybridMultilevel"/>
    <w:tmpl w:val="ADA65BB0"/>
    <w:lvl w:ilvl="0" w:tplc="A83EF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A63B3"/>
    <w:multiLevelType w:val="multilevel"/>
    <w:tmpl w:val="0C8A55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A53858"/>
    <w:multiLevelType w:val="hybridMultilevel"/>
    <w:tmpl w:val="9F0E4838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573ED6"/>
    <w:multiLevelType w:val="multilevel"/>
    <w:tmpl w:val="D6E2285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0D5A24"/>
    <w:multiLevelType w:val="multilevel"/>
    <w:tmpl w:val="A48280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15"/>
  </w:num>
  <w:num w:numId="10">
    <w:abstractNumId w:val="11"/>
  </w:num>
  <w:num w:numId="11">
    <w:abstractNumId w:val="0"/>
  </w:num>
  <w:num w:numId="12">
    <w:abstractNumId w:val="12"/>
  </w:num>
  <w:num w:numId="13">
    <w:abstractNumId w:val="9"/>
  </w:num>
  <w:num w:numId="14">
    <w:abstractNumId w:val="5"/>
  </w:num>
  <w:num w:numId="15">
    <w:abstractNumId w:val="14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B1"/>
    <w:rsid w:val="000D534D"/>
    <w:rsid w:val="001075A8"/>
    <w:rsid w:val="0011715E"/>
    <w:rsid w:val="001266AC"/>
    <w:rsid w:val="001D346F"/>
    <w:rsid w:val="0032754E"/>
    <w:rsid w:val="00345D04"/>
    <w:rsid w:val="003505DD"/>
    <w:rsid w:val="00353577"/>
    <w:rsid w:val="003C17F9"/>
    <w:rsid w:val="003D1AF2"/>
    <w:rsid w:val="00450190"/>
    <w:rsid w:val="004D7413"/>
    <w:rsid w:val="004E04E8"/>
    <w:rsid w:val="00570CB0"/>
    <w:rsid w:val="005C6699"/>
    <w:rsid w:val="006828AE"/>
    <w:rsid w:val="006A5EE2"/>
    <w:rsid w:val="00700032"/>
    <w:rsid w:val="00732E80"/>
    <w:rsid w:val="0074408D"/>
    <w:rsid w:val="007C7A45"/>
    <w:rsid w:val="00822DA0"/>
    <w:rsid w:val="0082535F"/>
    <w:rsid w:val="008429F3"/>
    <w:rsid w:val="00844FC6"/>
    <w:rsid w:val="008B24E3"/>
    <w:rsid w:val="009A0125"/>
    <w:rsid w:val="009A204A"/>
    <w:rsid w:val="009D0AAE"/>
    <w:rsid w:val="009F1CF5"/>
    <w:rsid w:val="00A1795A"/>
    <w:rsid w:val="00A50DA4"/>
    <w:rsid w:val="00A6121E"/>
    <w:rsid w:val="00AC434E"/>
    <w:rsid w:val="00AC4C97"/>
    <w:rsid w:val="00B0046B"/>
    <w:rsid w:val="00B42AA7"/>
    <w:rsid w:val="00B558A1"/>
    <w:rsid w:val="00B913D5"/>
    <w:rsid w:val="00C53F6A"/>
    <w:rsid w:val="00C93638"/>
    <w:rsid w:val="00CC510D"/>
    <w:rsid w:val="00D03C12"/>
    <w:rsid w:val="00E0129D"/>
    <w:rsid w:val="00F064A8"/>
    <w:rsid w:val="00F541B1"/>
    <w:rsid w:val="00F909DE"/>
    <w:rsid w:val="00FC6F17"/>
    <w:rsid w:val="00FD1403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158DB-010F-4F3E-B5B2-E1387307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1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_"/>
    <w:basedOn w:val="a0"/>
    <w:link w:val="10"/>
    <w:rsid w:val="00F541B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541B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541B1"/>
    <w:pPr>
      <w:widowControl w:val="0"/>
      <w:shd w:val="clear" w:color="auto" w:fill="FFFFFF"/>
      <w:spacing w:after="0" w:line="298" w:lineRule="exact"/>
      <w:ind w:hanging="1200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F541B1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F541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541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541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11pt">
    <w:name w:val="Основной текст (2) + 11 pt"/>
    <w:basedOn w:val="2"/>
    <w:rsid w:val="00F5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A6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121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6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121E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6121E"/>
    <w:pPr>
      <w:ind w:left="720"/>
      <w:contextualSpacing/>
    </w:pPr>
  </w:style>
  <w:style w:type="table" w:styleId="a9">
    <w:name w:val="Table Grid"/>
    <w:basedOn w:val="a1"/>
    <w:uiPriority w:val="59"/>
    <w:rsid w:val="003D1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B54EBFC7714364AAB4C2EA5756A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C2BB1-F1B7-4621-A0BE-51350886DECC}"/>
      </w:docPartPr>
      <w:docPartBody>
        <w:p w:rsidR="00195691" w:rsidRDefault="00195691" w:rsidP="00195691">
          <w:pPr>
            <w:pStyle w:val="0AB54EBFC7714364AAB4C2EA5756A061"/>
          </w:pPr>
          <w:r w:rsidRPr="008F0A88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5691"/>
    <w:rsid w:val="001917DC"/>
    <w:rsid w:val="00195691"/>
    <w:rsid w:val="00246F1A"/>
    <w:rsid w:val="003B533F"/>
    <w:rsid w:val="00581A5D"/>
    <w:rsid w:val="005C6847"/>
    <w:rsid w:val="008C530D"/>
    <w:rsid w:val="00CA4DDA"/>
    <w:rsid w:val="00DE4268"/>
    <w:rsid w:val="00F3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5691"/>
    <w:rPr>
      <w:color w:val="808080"/>
    </w:rPr>
  </w:style>
  <w:style w:type="paragraph" w:customStyle="1" w:styleId="8A06F3695AC84ACFB84D2D16E5E6FCA8">
    <w:name w:val="8A06F3695AC84ACFB84D2D16E5E6FCA8"/>
    <w:rsid w:val="00195691"/>
  </w:style>
  <w:style w:type="paragraph" w:customStyle="1" w:styleId="F3DF584ED0B34F1095455171EFBA2B52">
    <w:name w:val="F3DF584ED0B34F1095455171EFBA2B52"/>
    <w:rsid w:val="00195691"/>
  </w:style>
  <w:style w:type="paragraph" w:customStyle="1" w:styleId="0AB54EBFC7714364AAB4C2EA5756A061">
    <w:name w:val="0AB54EBFC7714364AAB4C2EA5756A061"/>
    <w:rsid w:val="00195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8</cp:revision>
  <cp:lastPrinted>2021-06-23T02:29:00Z</cp:lastPrinted>
  <dcterms:created xsi:type="dcterms:W3CDTF">2022-09-07T02:56:00Z</dcterms:created>
  <dcterms:modified xsi:type="dcterms:W3CDTF">2022-10-18T06:59:00Z</dcterms:modified>
  <cp:contentStatus/>
</cp:coreProperties>
</file>