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9B6" w:rsidRPr="006D39B6" w:rsidRDefault="006D39B6" w:rsidP="006D39B6">
      <w:pPr>
        <w:jc w:val="center"/>
        <w:rPr>
          <w:rFonts w:ascii="Times New Roman" w:hAnsi="Times New Roman" w:cs="Times New Roman"/>
          <w:sz w:val="28"/>
          <w:szCs w:val="28"/>
        </w:rPr>
      </w:pPr>
      <w:r w:rsidRPr="006D39B6">
        <w:rPr>
          <w:rFonts w:ascii="Times New Roman" w:hAnsi="Times New Roman" w:cs="Times New Roman"/>
          <w:sz w:val="28"/>
          <w:szCs w:val="28"/>
        </w:rPr>
        <w:t xml:space="preserve"> ИНФОРМАЦИЯ ПО РЕЗУЛЬТАТАМ ВНЕШНЕЙ ПРОВЕРКИ ОТЧЕТА ОБ ИСПОЛНЕНИИ БЮДЖЕТА МУНИЦИПАЛЬНОГО ОБРАЗОВАНИЯ ТИМАШЕВСКИЙ РАЙОН ЗА 202</w:t>
      </w:r>
      <w:r w:rsidR="00032807">
        <w:rPr>
          <w:rFonts w:ascii="Times New Roman" w:hAnsi="Times New Roman" w:cs="Times New Roman"/>
          <w:sz w:val="28"/>
          <w:szCs w:val="28"/>
        </w:rPr>
        <w:t>3</w:t>
      </w:r>
      <w:r w:rsidRPr="006D39B6">
        <w:rPr>
          <w:rFonts w:ascii="Times New Roman" w:hAnsi="Times New Roman" w:cs="Times New Roman"/>
          <w:sz w:val="28"/>
          <w:szCs w:val="28"/>
        </w:rPr>
        <w:t xml:space="preserve"> ГОД</w:t>
      </w:r>
    </w:p>
    <w:p w:rsidR="006D39B6" w:rsidRPr="006D39B6" w:rsidRDefault="006D39B6" w:rsidP="006D39B6">
      <w:pPr>
        <w:jc w:val="center"/>
        <w:rPr>
          <w:rFonts w:ascii="Times New Roman" w:hAnsi="Times New Roman" w:cs="Times New Roman"/>
          <w:sz w:val="28"/>
          <w:szCs w:val="28"/>
        </w:rPr>
      </w:pPr>
    </w:p>
    <w:p w:rsidR="006D39B6" w:rsidRPr="006D39B6" w:rsidRDefault="00607D8F" w:rsidP="006D39B6">
      <w:pPr>
        <w:spacing w:after="0" w:line="240" w:lineRule="auto"/>
        <w:ind w:firstLine="709"/>
        <w:jc w:val="both"/>
        <w:rPr>
          <w:rFonts w:ascii="Times New Roman" w:hAnsi="Times New Roman" w:cs="Times New Roman"/>
          <w:b/>
          <w:sz w:val="28"/>
          <w:szCs w:val="28"/>
        </w:rPr>
      </w:pPr>
      <w:r w:rsidRPr="00607D8F">
        <w:rPr>
          <w:rFonts w:ascii="Times New Roman" w:hAnsi="Times New Roman" w:cs="Times New Roman"/>
          <w:sz w:val="28"/>
          <w:szCs w:val="28"/>
        </w:rPr>
        <w:t xml:space="preserve">В соответствии с </w:t>
      </w:r>
      <w:r w:rsidR="00E06A6B" w:rsidRPr="00E06A6B">
        <w:rPr>
          <w:rFonts w:ascii="Times New Roman" w:hAnsi="Times New Roman" w:cs="Times New Roman"/>
          <w:sz w:val="28"/>
          <w:szCs w:val="28"/>
        </w:rPr>
        <w:t>План</w:t>
      </w:r>
      <w:r w:rsidR="00667006">
        <w:rPr>
          <w:rFonts w:ascii="Times New Roman" w:hAnsi="Times New Roman" w:cs="Times New Roman"/>
          <w:sz w:val="28"/>
          <w:szCs w:val="28"/>
        </w:rPr>
        <w:t>ом</w:t>
      </w:r>
      <w:r w:rsidR="00E06A6B" w:rsidRPr="00E06A6B">
        <w:rPr>
          <w:rFonts w:ascii="Times New Roman" w:hAnsi="Times New Roman" w:cs="Times New Roman"/>
          <w:sz w:val="28"/>
          <w:szCs w:val="28"/>
        </w:rPr>
        <w:t xml:space="preserve"> работы контрольно-счетной палаты муниципального образования Тимашевский район на 202</w:t>
      </w:r>
      <w:r w:rsidR="00FE431F">
        <w:rPr>
          <w:rFonts w:ascii="Times New Roman" w:hAnsi="Times New Roman" w:cs="Times New Roman"/>
          <w:sz w:val="28"/>
          <w:szCs w:val="28"/>
        </w:rPr>
        <w:t>4</w:t>
      </w:r>
      <w:r w:rsidR="00E06A6B" w:rsidRPr="00E06A6B">
        <w:rPr>
          <w:rFonts w:ascii="Times New Roman" w:hAnsi="Times New Roman" w:cs="Times New Roman"/>
          <w:sz w:val="28"/>
          <w:szCs w:val="28"/>
        </w:rPr>
        <w:t xml:space="preserve"> год, распоряжени</w:t>
      </w:r>
      <w:r w:rsidR="00667006">
        <w:rPr>
          <w:rFonts w:ascii="Times New Roman" w:hAnsi="Times New Roman" w:cs="Times New Roman"/>
          <w:sz w:val="28"/>
          <w:szCs w:val="28"/>
        </w:rPr>
        <w:t>ем</w:t>
      </w:r>
      <w:r w:rsidR="00E06A6B" w:rsidRPr="00E06A6B">
        <w:rPr>
          <w:rFonts w:ascii="Times New Roman" w:hAnsi="Times New Roman" w:cs="Times New Roman"/>
          <w:sz w:val="28"/>
          <w:szCs w:val="28"/>
        </w:rPr>
        <w:t xml:space="preserve"> председателя на проведение </w:t>
      </w:r>
      <w:r w:rsidR="00165645">
        <w:rPr>
          <w:rFonts w:ascii="Times New Roman" w:hAnsi="Times New Roman" w:cs="Times New Roman"/>
          <w:sz w:val="28"/>
          <w:szCs w:val="28"/>
        </w:rPr>
        <w:t>экспертно-аналитического</w:t>
      </w:r>
      <w:r w:rsidR="00E06A6B" w:rsidRPr="00E06A6B">
        <w:rPr>
          <w:rFonts w:ascii="Times New Roman" w:hAnsi="Times New Roman" w:cs="Times New Roman"/>
          <w:sz w:val="28"/>
          <w:szCs w:val="28"/>
        </w:rPr>
        <w:t xml:space="preserve"> мероприятия от </w:t>
      </w:r>
      <w:r w:rsidR="006D39B6">
        <w:rPr>
          <w:rFonts w:ascii="Times New Roman" w:hAnsi="Times New Roman" w:cs="Times New Roman"/>
          <w:sz w:val="28"/>
          <w:szCs w:val="28"/>
        </w:rPr>
        <w:t>01</w:t>
      </w:r>
      <w:r w:rsidR="00E06A6B" w:rsidRPr="00E06A6B">
        <w:rPr>
          <w:rFonts w:ascii="Times New Roman" w:hAnsi="Times New Roman" w:cs="Times New Roman"/>
          <w:sz w:val="28"/>
          <w:szCs w:val="28"/>
        </w:rPr>
        <w:t>.0</w:t>
      </w:r>
      <w:r w:rsidR="006D39B6">
        <w:rPr>
          <w:rFonts w:ascii="Times New Roman" w:hAnsi="Times New Roman" w:cs="Times New Roman"/>
          <w:sz w:val="28"/>
          <w:szCs w:val="28"/>
        </w:rPr>
        <w:t>4</w:t>
      </w:r>
      <w:r w:rsidR="00E06A6B" w:rsidRPr="00E06A6B">
        <w:rPr>
          <w:rFonts w:ascii="Times New Roman" w:hAnsi="Times New Roman" w:cs="Times New Roman"/>
          <w:sz w:val="28"/>
          <w:szCs w:val="28"/>
        </w:rPr>
        <w:t>.202</w:t>
      </w:r>
      <w:r w:rsidR="00FE431F">
        <w:rPr>
          <w:rFonts w:ascii="Times New Roman" w:hAnsi="Times New Roman" w:cs="Times New Roman"/>
          <w:sz w:val="28"/>
          <w:szCs w:val="28"/>
        </w:rPr>
        <w:t>4</w:t>
      </w:r>
      <w:r w:rsidR="00E06A6B" w:rsidRPr="00E06A6B">
        <w:rPr>
          <w:rFonts w:ascii="Times New Roman" w:hAnsi="Times New Roman" w:cs="Times New Roman"/>
          <w:sz w:val="28"/>
          <w:szCs w:val="28"/>
        </w:rPr>
        <w:t xml:space="preserve"> № </w:t>
      </w:r>
      <w:r w:rsidR="00FE431F">
        <w:rPr>
          <w:rFonts w:ascii="Times New Roman" w:hAnsi="Times New Roman" w:cs="Times New Roman"/>
          <w:sz w:val="28"/>
          <w:szCs w:val="28"/>
        </w:rPr>
        <w:t>110</w:t>
      </w:r>
      <w:r w:rsidR="00667006">
        <w:rPr>
          <w:rFonts w:ascii="Times New Roman" w:hAnsi="Times New Roman" w:cs="Times New Roman"/>
          <w:sz w:val="28"/>
          <w:szCs w:val="28"/>
        </w:rPr>
        <w:t>, заместителем председателя</w:t>
      </w:r>
      <w:r w:rsidRPr="00607D8F">
        <w:rPr>
          <w:rFonts w:ascii="Times New Roman" w:hAnsi="Times New Roman" w:cs="Times New Roman"/>
          <w:sz w:val="28"/>
          <w:szCs w:val="28"/>
        </w:rPr>
        <w:t xml:space="preserve"> </w:t>
      </w:r>
      <w:r w:rsidR="00667006">
        <w:rPr>
          <w:rFonts w:ascii="Times New Roman" w:hAnsi="Times New Roman" w:cs="Times New Roman"/>
          <w:sz w:val="28"/>
          <w:szCs w:val="28"/>
        </w:rPr>
        <w:t xml:space="preserve">Карташевой Ольгой Александровной </w:t>
      </w:r>
      <w:r w:rsidRPr="00607D8F">
        <w:rPr>
          <w:rFonts w:ascii="Times New Roman" w:hAnsi="Times New Roman" w:cs="Times New Roman"/>
          <w:b/>
          <w:sz w:val="28"/>
          <w:szCs w:val="28"/>
        </w:rPr>
        <w:t xml:space="preserve">проведена </w:t>
      </w:r>
      <w:r w:rsidR="006D39B6" w:rsidRPr="006D39B6">
        <w:rPr>
          <w:rFonts w:ascii="Times New Roman" w:hAnsi="Times New Roman" w:cs="Times New Roman"/>
          <w:b/>
          <w:sz w:val="28"/>
          <w:szCs w:val="28"/>
        </w:rPr>
        <w:t>внешн</w:t>
      </w:r>
      <w:r w:rsidR="006D39B6">
        <w:rPr>
          <w:rFonts w:ascii="Times New Roman" w:hAnsi="Times New Roman" w:cs="Times New Roman"/>
          <w:b/>
          <w:sz w:val="28"/>
          <w:szCs w:val="28"/>
        </w:rPr>
        <w:t>яя</w:t>
      </w:r>
      <w:r w:rsidR="006D39B6" w:rsidRPr="006D39B6">
        <w:rPr>
          <w:rFonts w:ascii="Times New Roman" w:hAnsi="Times New Roman" w:cs="Times New Roman"/>
          <w:b/>
          <w:sz w:val="28"/>
          <w:szCs w:val="28"/>
        </w:rPr>
        <w:t xml:space="preserve"> проверки годового отчета об исполнении бюджета муниципального образования Тимашевский муниципальный район Краснодарского края за 202</w:t>
      </w:r>
      <w:r w:rsidR="00FE431F">
        <w:rPr>
          <w:rFonts w:ascii="Times New Roman" w:hAnsi="Times New Roman" w:cs="Times New Roman"/>
          <w:b/>
          <w:sz w:val="28"/>
          <w:szCs w:val="28"/>
        </w:rPr>
        <w:t>3</w:t>
      </w:r>
      <w:r w:rsidR="006D39B6" w:rsidRPr="006D39B6">
        <w:rPr>
          <w:rFonts w:ascii="Times New Roman" w:hAnsi="Times New Roman" w:cs="Times New Roman"/>
          <w:b/>
          <w:sz w:val="28"/>
          <w:szCs w:val="28"/>
        </w:rPr>
        <w:t xml:space="preserve"> год</w:t>
      </w:r>
      <w:r w:rsidR="006D39B6">
        <w:rPr>
          <w:rFonts w:ascii="Times New Roman" w:hAnsi="Times New Roman" w:cs="Times New Roman"/>
          <w:b/>
          <w:sz w:val="28"/>
          <w:szCs w:val="28"/>
        </w:rPr>
        <w:t>.</w:t>
      </w:r>
    </w:p>
    <w:p w:rsidR="006D39B6" w:rsidRPr="006D39B6" w:rsidRDefault="006D39B6" w:rsidP="006D39B6">
      <w:pPr>
        <w:pBdr>
          <w:bottom w:val="single" w:sz="6" w:space="0" w:color="FFFFFF"/>
        </w:pBdr>
        <w:suppressAutoHyphens/>
        <w:spacing w:after="0" w:line="240" w:lineRule="auto"/>
        <w:ind w:firstLine="709"/>
        <w:jc w:val="both"/>
        <w:rPr>
          <w:rFonts w:ascii="Times New Roman" w:eastAsia="Times New Roman" w:hAnsi="Times New Roman" w:cs="Times New Roman"/>
          <w:sz w:val="28"/>
          <w:szCs w:val="28"/>
          <w:lang w:eastAsia="ru-RU"/>
        </w:rPr>
      </w:pPr>
      <w:r w:rsidRPr="006D39B6">
        <w:rPr>
          <w:rFonts w:ascii="Times New Roman" w:eastAsia="Times New Roman" w:hAnsi="Times New Roman" w:cs="Times New Roman"/>
          <w:b/>
          <w:sz w:val="28"/>
          <w:szCs w:val="28"/>
          <w:lang w:eastAsia="ru-RU"/>
        </w:rPr>
        <w:t>Внешняя проверка</w:t>
      </w:r>
      <w:r w:rsidRPr="006D39B6">
        <w:rPr>
          <w:rFonts w:ascii="Times New Roman" w:eastAsia="Times New Roman" w:hAnsi="Times New Roman" w:cs="Times New Roman"/>
          <w:sz w:val="28"/>
          <w:szCs w:val="28"/>
          <w:lang w:eastAsia="ru-RU"/>
        </w:rPr>
        <w:t xml:space="preserve"> бюджетной отчетности главных администраторов за 202</w:t>
      </w:r>
      <w:r w:rsidR="00FE431F">
        <w:rPr>
          <w:rFonts w:ascii="Times New Roman" w:eastAsia="Times New Roman" w:hAnsi="Times New Roman" w:cs="Times New Roman"/>
          <w:sz w:val="28"/>
          <w:szCs w:val="28"/>
          <w:lang w:eastAsia="ru-RU"/>
        </w:rPr>
        <w:t>3</w:t>
      </w:r>
      <w:r w:rsidRPr="006D39B6">
        <w:rPr>
          <w:rFonts w:ascii="Times New Roman" w:eastAsia="Times New Roman" w:hAnsi="Times New Roman" w:cs="Times New Roman"/>
          <w:sz w:val="28"/>
          <w:szCs w:val="28"/>
          <w:lang w:eastAsia="ru-RU"/>
        </w:rPr>
        <w:t xml:space="preserve"> год </w:t>
      </w:r>
      <w:r w:rsidRPr="006D39B6">
        <w:rPr>
          <w:rFonts w:ascii="Times New Roman" w:eastAsia="Times New Roman" w:hAnsi="Times New Roman" w:cs="Times New Roman"/>
          <w:b/>
          <w:sz w:val="28"/>
          <w:szCs w:val="28"/>
          <w:lang w:eastAsia="ru-RU"/>
        </w:rPr>
        <w:t>не выявила нарушений и недостатков, способных негативно повлиять на достоверность Годового отчета</w:t>
      </w:r>
      <w:r w:rsidRPr="006D39B6">
        <w:rPr>
          <w:rFonts w:ascii="Times New Roman" w:eastAsia="Times New Roman" w:hAnsi="Times New Roman" w:cs="Times New Roman"/>
          <w:sz w:val="28"/>
          <w:szCs w:val="28"/>
          <w:lang w:eastAsia="ru-RU"/>
        </w:rPr>
        <w:t>. Показатели доходов и расходов в проекте решения «Об утверждении годового отчета об исполнении бюджета муниципального образования Тимашевский район за 202</w:t>
      </w:r>
      <w:r w:rsidR="00FE431F">
        <w:rPr>
          <w:rFonts w:ascii="Times New Roman" w:eastAsia="Times New Roman" w:hAnsi="Times New Roman" w:cs="Times New Roman"/>
          <w:sz w:val="28"/>
          <w:szCs w:val="28"/>
          <w:lang w:eastAsia="ru-RU"/>
        </w:rPr>
        <w:t>3</w:t>
      </w:r>
      <w:r w:rsidRPr="006D39B6">
        <w:rPr>
          <w:rFonts w:ascii="Times New Roman" w:eastAsia="Times New Roman" w:hAnsi="Times New Roman" w:cs="Times New Roman"/>
          <w:sz w:val="28"/>
          <w:szCs w:val="28"/>
          <w:lang w:eastAsia="ru-RU"/>
        </w:rPr>
        <w:t xml:space="preserve"> год» соответствуют Годовому отчету.</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В соответствии с требованиями статьи 19 Положения о бюджетном процессе одновременно с Отчетом представлен проект решения «Об утверждении годового отчета об исполнении бюджета муниципального образования Тимашевский район за 2023 год». Содержание годового отчета об исполнении бюджета и состав приложений к нему соответствуют требованиям статьи 264.6 БК РФ, статьи 19 Положения о бюджетном процессе.</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 Статьей 1 проекта решения предлагаются к утверждению показатели исполнения бюджета муниципального образования Тимашевский район по его основным характеристикам: доходам в сумме 3 058 599,3 тыс. рублей, расходам – 3 060 767,4 тыс. рублей, с превышением расходов над доходами (дефицит районного бюджета) в сумме 2 168,1 тыс. рублей. </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В 2023 году районный бюджет исполняли 11 главных распорядителей администраторов) средств районного бюджета и 9 территориальных подразделений федеральных органов власти</w:t>
      </w:r>
      <w:r w:rsidRPr="00FE431F">
        <w:rPr>
          <w:rFonts w:ascii="Times New Roman" w:eastAsia="Times New Roman" w:hAnsi="Times New Roman" w:cs="Times New Roman"/>
          <w:sz w:val="28"/>
          <w:szCs w:val="28"/>
          <w:vertAlign w:val="superscript"/>
          <w:lang w:eastAsia="ru-RU"/>
        </w:rPr>
        <w:footnoteReference w:id="1"/>
      </w:r>
      <w:r w:rsidRPr="00FE431F">
        <w:rPr>
          <w:rFonts w:ascii="Times New Roman" w:eastAsia="Times New Roman" w:hAnsi="Times New Roman" w:cs="Times New Roman"/>
          <w:sz w:val="28"/>
          <w:szCs w:val="28"/>
          <w:lang w:eastAsia="ru-RU"/>
        </w:rPr>
        <w:t>.</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Вместе с тем при исполнении районного бюджета за 2023 год, ведении бюджетного учета и составлении бюджетной отчетности 11 главными распорядителями (администраторами) средств районного бюджета допущены различные нарушения бюджетного (бухгалтерского) законодательства на общую сумму 1 829 776,7 тыс. рублей, а именно:</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искажение показателей (в том числе из-за ошибок в бюджетном учете) установлены в двух отчетных формах на общую сумму 7 100,6 тыс. рублей </w:t>
      </w:r>
      <w:r w:rsidRPr="00FE431F">
        <w:rPr>
          <w:rFonts w:ascii="Times New Roman" w:eastAsia="Times New Roman" w:hAnsi="Times New Roman" w:cs="Times New Roman"/>
          <w:i/>
          <w:sz w:val="28"/>
          <w:szCs w:val="28"/>
          <w:lang w:eastAsia="ru-RU"/>
        </w:rPr>
        <w:t xml:space="preserve">(8 </w:t>
      </w:r>
      <w:r w:rsidRPr="00FE431F">
        <w:rPr>
          <w:rFonts w:ascii="Times New Roman" w:eastAsia="Times New Roman" w:hAnsi="Times New Roman" w:cs="Times New Roman"/>
          <w:i/>
          <w:sz w:val="28"/>
          <w:szCs w:val="28"/>
          <w:lang w:eastAsia="ru-RU"/>
        </w:rPr>
        <w:lastRenderedPageBreak/>
        <w:t>фактов)</w:t>
      </w:r>
      <w:r w:rsidRPr="00FE431F">
        <w:rPr>
          <w:rFonts w:ascii="Times New Roman" w:eastAsia="Times New Roman" w:hAnsi="Times New Roman" w:cs="Times New Roman"/>
          <w:sz w:val="28"/>
          <w:szCs w:val="28"/>
          <w:lang w:eastAsia="ru-RU"/>
        </w:rPr>
        <w:t>. Сумма устраненных в ходе проверки нарушений составила 7100,6 тыс. рублей или 100 % общего объема выявленных нарушений;</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нарушение требований, предъявляемых к оформлению и ведению регистров бухгалтерского учета на общую сумму 1 804 502,5 тыс. рублей </w:t>
      </w:r>
      <w:r w:rsidRPr="00FE431F">
        <w:rPr>
          <w:rFonts w:ascii="Times New Roman" w:eastAsia="Times New Roman" w:hAnsi="Times New Roman" w:cs="Times New Roman"/>
          <w:i/>
          <w:sz w:val="28"/>
          <w:szCs w:val="28"/>
          <w:lang w:eastAsia="ru-RU"/>
        </w:rPr>
        <w:t>(8 фактов).</w:t>
      </w:r>
      <w:r w:rsidRPr="00FE431F">
        <w:rPr>
          <w:rFonts w:ascii="Times New Roman" w:eastAsia="Times New Roman" w:hAnsi="Times New Roman" w:cs="Times New Roman"/>
          <w:sz w:val="28"/>
          <w:szCs w:val="28"/>
          <w:lang w:eastAsia="ru-RU"/>
        </w:rPr>
        <w:t xml:space="preserve"> Сумма устраненных в ходе проверки нарушений составила 1 804 502,5 тыс. рублей или 100 % общего объема выявленных нарушений;</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нарушение реализации полномочий ГРБС, предусмотренных подпунктом 1, 10, 4 пунктом 1 статьи 158 БК РФ и подпункта 3 пункта 1 статьи 162 БК РФ на общую сумму 17 578,3 тыс. рублей </w:t>
      </w:r>
      <w:r w:rsidRPr="00FE431F">
        <w:rPr>
          <w:rFonts w:ascii="Times New Roman" w:eastAsia="Times New Roman" w:hAnsi="Times New Roman" w:cs="Times New Roman"/>
          <w:i/>
          <w:sz w:val="28"/>
          <w:szCs w:val="28"/>
          <w:lang w:eastAsia="ru-RU"/>
        </w:rPr>
        <w:t>(3 факта);</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нарушение при осуществлении муниципальных закупок на общую сумму 287,2 тыс. рублей </w:t>
      </w:r>
      <w:r w:rsidRPr="00FE431F">
        <w:rPr>
          <w:rFonts w:ascii="Times New Roman" w:eastAsia="Times New Roman" w:hAnsi="Times New Roman" w:cs="Times New Roman"/>
          <w:i/>
          <w:sz w:val="28"/>
          <w:szCs w:val="28"/>
          <w:lang w:eastAsia="ru-RU"/>
        </w:rPr>
        <w:t>(1 факт);</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 xml:space="preserve">нарушения в сфере управления и распоряжения муниципальным имуществом </w:t>
      </w:r>
      <w:r w:rsidRPr="00FE431F">
        <w:rPr>
          <w:rFonts w:ascii="Times New Roman" w:eastAsia="Times New Roman" w:hAnsi="Times New Roman" w:cs="Times New Roman"/>
          <w:i/>
          <w:sz w:val="28"/>
          <w:szCs w:val="28"/>
          <w:lang w:eastAsia="ru-RU"/>
        </w:rPr>
        <w:t>(2 факта);</w:t>
      </w:r>
    </w:p>
    <w:p w:rsidR="00FE431F" w:rsidRPr="00FE431F" w:rsidRDefault="00FE431F" w:rsidP="00FE431F">
      <w:pPr>
        <w:spacing w:after="0" w:line="240" w:lineRule="auto"/>
        <w:ind w:firstLine="539"/>
        <w:jc w:val="both"/>
        <w:rPr>
          <w:rFonts w:ascii="Times New Roman" w:eastAsia="Times New Roman" w:hAnsi="Times New Roman" w:cs="Times New Roman"/>
          <w:bCs/>
          <w:sz w:val="28"/>
          <w:szCs w:val="28"/>
          <w:lang w:eastAsia="ru-RU"/>
        </w:rPr>
      </w:pPr>
      <w:r w:rsidRPr="00FE431F">
        <w:rPr>
          <w:rFonts w:ascii="Times New Roman" w:eastAsia="Times New Roman" w:hAnsi="Times New Roman" w:cs="Times New Roman"/>
          <w:sz w:val="28"/>
          <w:szCs w:val="28"/>
          <w:lang w:eastAsia="ru-RU"/>
        </w:rPr>
        <w:t xml:space="preserve">не обеспечена сопоставимость в различных отчетных формах одноименных показателей годовой бюджетной отчетности ГРБС на общую сумму </w:t>
      </w:r>
      <w:r w:rsidRPr="00FE431F">
        <w:rPr>
          <w:rFonts w:ascii="Times New Roman" w:eastAsia="Times New Roman" w:hAnsi="Times New Roman" w:cs="Times New Roman"/>
          <w:bCs/>
          <w:sz w:val="28"/>
          <w:szCs w:val="28"/>
          <w:lang w:eastAsia="ru-RU"/>
        </w:rPr>
        <w:t xml:space="preserve">308,4 тыс. рублей </w:t>
      </w:r>
      <w:r w:rsidRPr="00FE431F">
        <w:rPr>
          <w:rFonts w:ascii="Times New Roman" w:eastAsia="Times New Roman" w:hAnsi="Times New Roman" w:cs="Times New Roman"/>
          <w:bCs/>
          <w:i/>
          <w:sz w:val="28"/>
          <w:szCs w:val="28"/>
          <w:lang w:eastAsia="ru-RU"/>
        </w:rPr>
        <w:t>(1 факт)</w:t>
      </w:r>
      <w:r w:rsidRPr="00FE431F">
        <w:rPr>
          <w:rFonts w:ascii="Times New Roman" w:eastAsia="Times New Roman" w:hAnsi="Times New Roman" w:cs="Times New Roman"/>
          <w:bCs/>
          <w:sz w:val="28"/>
          <w:szCs w:val="28"/>
          <w:lang w:eastAsia="ru-RU"/>
        </w:rPr>
        <w:t>;</w:t>
      </w:r>
    </w:p>
    <w:p w:rsidR="00FE431F" w:rsidRPr="00FE431F" w:rsidRDefault="00FE431F" w:rsidP="00FE431F">
      <w:pPr>
        <w:spacing w:after="0" w:line="240" w:lineRule="auto"/>
        <w:ind w:firstLine="539"/>
        <w:jc w:val="both"/>
        <w:rPr>
          <w:rFonts w:ascii="Times New Roman" w:eastAsia="Times New Roman" w:hAnsi="Times New Roman" w:cs="Times New Roman"/>
          <w:bCs/>
          <w:sz w:val="28"/>
          <w:szCs w:val="28"/>
          <w:lang w:eastAsia="ru-RU"/>
        </w:rPr>
      </w:pPr>
      <w:r w:rsidRPr="00FE431F">
        <w:rPr>
          <w:rFonts w:ascii="Times New Roman" w:eastAsia="Times New Roman" w:hAnsi="Times New Roman" w:cs="Times New Roman"/>
          <w:bCs/>
          <w:sz w:val="28"/>
          <w:szCs w:val="28"/>
          <w:lang w:eastAsia="ru-RU"/>
        </w:rPr>
        <w:t xml:space="preserve">не приняты меры по списанию дебиторской задолженности в сумме </w:t>
      </w:r>
      <w:r w:rsidRPr="00FE431F">
        <w:rPr>
          <w:rFonts w:ascii="Times New Roman" w:eastAsia="Times New Roman" w:hAnsi="Times New Roman" w:cs="Times New Roman"/>
          <w:sz w:val="28"/>
          <w:szCs w:val="28"/>
          <w:lang w:eastAsia="ru-RU"/>
        </w:rPr>
        <w:t>201,9 тыс. рублей</w:t>
      </w:r>
      <w:r w:rsidRPr="00FE431F">
        <w:rPr>
          <w:rFonts w:ascii="Times New Roman" w:eastAsia="Times New Roman" w:hAnsi="Times New Roman" w:cs="Times New Roman"/>
          <w:bCs/>
          <w:sz w:val="28"/>
          <w:szCs w:val="28"/>
          <w:lang w:eastAsia="ru-RU"/>
        </w:rPr>
        <w:t>, длительное время не приносящей полезного потенциала и не соответствующей критериям актива.</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sz w:val="28"/>
          <w:szCs w:val="28"/>
          <w:lang w:eastAsia="ru-RU"/>
        </w:rPr>
        <w:t>Общие объемы основных характеристик соответствуют годовому отчету об исполнении бюджета (ф. 0503117). Данные приложений к проекту и ф.0503</w:t>
      </w:r>
      <w:bookmarkStart w:id="0" w:name="_GoBack"/>
      <w:bookmarkEnd w:id="0"/>
      <w:r w:rsidRPr="00FE431F">
        <w:rPr>
          <w:rFonts w:ascii="Times New Roman" w:eastAsia="Times New Roman" w:hAnsi="Times New Roman" w:cs="Times New Roman"/>
          <w:sz w:val="28"/>
          <w:szCs w:val="28"/>
          <w:lang w:eastAsia="ru-RU"/>
        </w:rPr>
        <w:t xml:space="preserve">117 соответствуют друг другу по содержанию как в части кодов бюджетной классификации, так и по объемам доходов, расходов и источников внутреннего финансирования дефицита бюджета в разрезе главных администраторов бюджетных средств. По показателям доходной, расходной частей и источникам внутреннего финансирования дефицита бюджета проект соответствует данным, полученным по результатам проверки Отчета. </w:t>
      </w:r>
    </w:p>
    <w:p w:rsidR="00FE431F" w:rsidRPr="00FE431F" w:rsidRDefault="00FE431F" w:rsidP="00FE431F">
      <w:pPr>
        <w:spacing w:after="0" w:line="240" w:lineRule="auto"/>
        <w:ind w:firstLine="539"/>
        <w:jc w:val="both"/>
        <w:rPr>
          <w:rFonts w:ascii="Times New Roman" w:eastAsia="Times New Roman" w:hAnsi="Times New Roman" w:cs="Times New Roman"/>
          <w:sz w:val="28"/>
          <w:szCs w:val="28"/>
          <w:lang w:eastAsia="ru-RU"/>
        </w:rPr>
      </w:pPr>
      <w:r w:rsidRPr="00FE431F">
        <w:rPr>
          <w:rFonts w:ascii="Times New Roman" w:eastAsia="Times New Roman" w:hAnsi="Times New Roman" w:cs="Times New Roman"/>
          <w:bCs/>
          <w:sz w:val="28"/>
          <w:szCs w:val="28"/>
          <w:lang w:eastAsia="ru-RU"/>
        </w:rPr>
        <w:t>Выборочной проверкой соблюдения требований порядка применения бюджетной классификации источников финансирования дефицита районного бюджета (кодов и их наименований) (</w:t>
      </w:r>
      <w:r w:rsidRPr="00FE431F">
        <w:rPr>
          <w:rFonts w:ascii="Times New Roman" w:eastAsia="Times New Roman" w:hAnsi="Times New Roman" w:cs="Times New Roman"/>
          <w:sz w:val="28"/>
          <w:szCs w:val="28"/>
          <w:lang w:eastAsia="ru-RU"/>
        </w:rPr>
        <w:t>приложение 5 к решению Совета об исполнении бюджета, ф. 0503117)</w:t>
      </w:r>
      <w:r w:rsidRPr="00FE431F">
        <w:rPr>
          <w:rFonts w:ascii="Times New Roman" w:eastAsia="Times New Roman" w:hAnsi="Times New Roman" w:cs="Times New Roman"/>
          <w:bCs/>
          <w:sz w:val="28"/>
          <w:szCs w:val="28"/>
          <w:lang w:eastAsia="ru-RU"/>
        </w:rPr>
        <w:t xml:space="preserve"> установлены несоответствия их наименований (см. раздел</w:t>
      </w:r>
      <w:r w:rsidRPr="00FE431F">
        <w:rPr>
          <w:rFonts w:ascii="Times New Roman" w:eastAsia="Times New Roman" w:hAnsi="Times New Roman" w:cs="Times New Roman"/>
          <w:b/>
          <w:sz w:val="28"/>
          <w:szCs w:val="28"/>
          <w:lang w:eastAsia="ru-RU"/>
        </w:rPr>
        <w:t xml:space="preserve"> </w:t>
      </w:r>
      <w:r w:rsidRPr="00FE431F">
        <w:rPr>
          <w:rFonts w:ascii="Times New Roman" w:eastAsia="Times New Roman" w:hAnsi="Times New Roman" w:cs="Times New Roman"/>
          <w:sz w:val="28"/>
          <w:szCs w:val="28"/>
          <w:lang w:val="en-US" w:eastAsia="ru-RU"/>
        </w:rPr>
        <w:t>V</w:t>
      </w:r>
      <w:r w:rsidRPr="00FE431F">
        <w:rPr>
          <w:rFonts w:ascii="Times New Roman" w:eastAsia="Times New Roman" w:hAnsi="Times New Roman" w:cs="Times New Roman"/>
          <w:sz w:val="28"/>
          <w:szCs w:val="28"/>
          <w:lang w:eastAsia="ru-RU"/>
        </w:rPr>
        <w:t xml:space="preserve"> заключения «Источники внутреннего финансирования дефицита бюджета. Муниципальный долг»). </w:t>
      </w:r>
    </w:p>
    <w:p w:rsidR="00FE431F" w:rsidRPr="00FE431F" w:rsidRDefault="00FE431F" w:rsidP="00FE431F">
      <w:pPr>
        <w:spacing w:after="0" w:line="240" w:lineRule="auto"/>
        <w:ind w:firstLine="539"/>
        <w:jc w:val="both"/>
        <w:rPr>
          <w:rFonts w:ascii="Times New Roman" w:eastAsia="Times New Roman" w:hAnsi="Times New Roman" w:cs="Times New Roman"/>
          <w:bCs/>
          <w:sz w:val="28"/>
          <w:szCs w:val="28"/>
          <w:lang w:eastAsia="ru-RU"/>
        </w:rPr>
      </w:pPr>
      <w:r w:rsidRPr="00FE431F">
        <w:rPr>
          <w:rFonts w:ascii="Times New Roman" w:eastAsia="Times New Roman" w:hAnsi="Times New Roman" w:cs="Times New Roman"/>
          <w:bCs/>
          <w:sz w:val="28"/>
          <w:szCs w:val="28"/>
          <w:lang w:eastAsia="ru-RU"/>
        </w:rPr>
        <w:t>Приведенные факты свидетельствуют о несоблюдении принципов единства бюджетной системы</w:t>
      </w:r>
      <w:r w:rsidRPr="00FE431F">
        <w:rPr>
          <w:rFonts w:ascii="Times New Roman" w:eastAsia="Times New Roman" w:hAnsi="Times New Roman" w:cs="Times New Roman"/>
          <w:bCs/>
          <w:sz w:val="28"/>
          <w:szCs w:val="28"/>
          <w:lang w:val="en-US" w:eastAsia="ru-RU"/>
        </w:rPr>
        <w:t> </w:t>
      </w:r>
      <w:r w:rsidRPr="00FE431F">
        <w:rPr>
          <w:rFonts w:ascii="Times New Roman" w:eastAsia="Times New Roman" w:hAnsi="Times New Roman" w:cs="Times New Roman"/>
          <w:bCs/>
          <w:sz w:val="28"/>
          <w:szCs w:val="28"/>
          <w:lang w:eastAsia="ru-RU"/>
        </w:rPr>
        <w:t xml:space="preserve">РФ </w:t>
      </w:r>
      <w:r w:rsidRPr="00FE431F">
        <w:rPr>
          <w:rFonts w:ascii="Times New Roman" w:eastAsia="Times New Roman" w:hAnsi="Times New Roman" w:cs="Times New Roman"/>
          <w:bCs/>
          <w:i/>
          <w:sz w:val="28"/>
          <w:szCs w:val="28"/>
          <w:lang w:eastAsia="ru-RU"/>
        </w:rPr>
        <w:t>(статья 29 БК РФ)</w:t>
      </w:r>
      <w:r w:rsidRPr="00FE431F">
        <w:rPr>
          <w:rFonts w:ascii="Times New Roman" w:eastAsia="Times New Roman" w:hAnsi="Times New Roman" w:cs="Times New Roman"/>
          <w:bCs/>
          <w:sz w:val="28"/>
          <w:szCs w:val="28"/>
          <w:lang w:eastAsia="ru-RU"/>
        </w:rPr>
        <w:t xml:space="preserve"> и единства назначения кодов, выразившемся в необеспечении в процессе формирования муниципальных правовых актов сопоставимости показателей бюджета бюджетной системы при назначении и наименовании кодов доходов и</w:t>
      </w:r>
      <w:r w:rsidRPr="00FE431F">
        <w:rPr>
          <w:rFonts w:ascii="Times New Roman" w:eastAsia="Times New Roman" w:hAnsi="Times New Roman" w:cs="Times New Roman"/>
          <w:bCs/>
          <w:sz w:val="28"/>
          <w:szCs w:val="28"/>
          <w:lang w:val="en-US" w:eastAsia="ru-RU"/>
        </w:rPr>
        <w:t> </w:t>
      </w:r>
      <w:r w:rsidRPr="00FE431F">
        <w:rPr>
          <w:rFonts w:ascii="Times New Roman" w:eastAsia="Times New Roman" w:hAnsi="Times New Roman" w:cs="Times New Roman"/>
          <w:bCs/>
          <w:sz w:val="28"/>
          <w:szCs w:val="28"/>
          <w:lang w:eastAsia="ru-RU"/>
        </w:rPr>
        <w:t>источников финансирования дефицита бюджета вопреки единым кодам, установленным Минфином РФ в рамках реализации полномочий, определенных абзацем двадцать первым статьи 7 БК РФ</w:t>
      </w:r>
      <w:r w:rsidRPr="00FE431F">
        <w:rPr>
          <w:rFonts w:ascii="Times New Roman" w:eastAsia="Times New Roman" w:hAnsi="Times New Roman" w:cs="Times New Roman"/>
          <w:bCs/>
          <w:i/>
          <w:sz w:val="28"/>
          <w:szCs w:val="28"/>
          <w:lang w:eastAsia="ru-RU"/>
        </w:rPr>
        <w:t xml:space="preserve"> (6 фактов).</w:t>
      </w:r>
    </w:p>
    <w:p w:rsidR="00667006" w:rsidRDefault="00667006" w:rsidP="00FE431F">
      <w:pPr>
        <w:spacing w:after="0" w:line="240" w:lineRule="auto"/>
        <w:ind w:firstLine="539"/>
        <w:jc w:val="both"/>
        <w:rPr>
          <w:rFonts w:ascii="Times New Roman" w:hAnsi="Times New Roman" w:cs="Times New Roman"/>
          <w:sz w:val="28"/>
          <w:szCs w:val="28"/>
        </w:rPr>
      </w:pPr>
    </w:p>
    <w:sectPr w:rsidR="00667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9B6" w:rsidRDefault="006D39B6" w:rsidP="006D39B6">
      <w:pPr>
        <w:spacing w:after="0" w:line="240" w:lineRule="auto"/>
      </w:pPr>
      <w:r>
        <w:separator/>
      </w:r>
    </w:p>
  </w:endnote>
  <w:endnote w:type="continuationSeparator" w:id="0">
    <w:p w:rsidR="006D39B6" w:rsidRDefault="006D39B6" w:rsidP="006D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9B6" w:rsidRDefault="006D39B6" w:rsidP="006D39B6">
      <w:pPr>
        <w:spacing w:after="0" w:line="240" w:lineRule="auto"/>
      </w:pPr>
      <w:r>
        <w:separator/>
      </w:r>
    </w:p>
  </w:footnote>
  <w:footnote w:type="continuationSeparator" w:id="0">
    <w:p w:rsidR="006D39B6" w:rsidRDefault="006D39B6" w:rsidP="006D39B6">
      <w:pPr>
        <w:spacing w:after="0" w:line="240" w:lineRule="auto"/>
      </w:pPr>
      <w:r>
        <w:continuationSeparator/>
      </w:r>
    </w:p>
  </w:footnote>
  <w:footnote w:id="1">
    <w:p w:rsidR="00FE431F" w:rsidRPr="009E18EA" w:rsidRDefault="00FE431F" w:rsidP="00FE431F">
      <w:pPr>
        <w:pStyle w:val="a4"/>
        <w:rPr>
          <w:sz w:val="16"/>
          <w:szCs w:val="16"/>
        </w:rPr>
      </w:pPr>
      <w:r>
        <w:rPr>
          <w:rStyle w:val="a3"/>
        </w:rPr>
        <w:footnoteRef/>
      </w:r>
      <w:r w:rsidRPr="009E18EA">
        <w:rPr>
          <w:sz w:val="16"/>
          <w:szCs w:val="16"/>
        </w:rPr>
        <w:t>Территориальный орган Федеральной службы по надзору в сфере природопользования; Территориальный орган Федерального казначейства, уполномоченный для вторичного распределения акцизов; Федеральная служба по надзору в сфере защиты прав потребителей и благополучия человека;  Федеральная служба по труду и занятости; Территориальный орган Федеральной налоговой службы; Территориальный орган Министерства внутренних дел Российской Федерации;  Территориальный орган Федеральной службы государственной регистрации, кадастра и картографии;  Департамент по обеспечению деятельности мировых судей Краснодарского края; Министерство природных ресурсов Краснодарского края;</w:t>
      </w:r>
    </w:p>
    <w:p w:rsidR="00FE431F" w:rsidRPr="009E18EA" w:rsidRDefault="00FE431F" w:rsidP="00FE431F">
      <w:pPr>
        <w:pStyle w:val="a4"/>
        <w:rPr>
          <w:sz w:val="16"/>
          <w:szCs w:val="16"/>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8F"/>
    <w:rsid w:val="00017071"/>
    <w:rsid w:val="00032807"/>
    <w:rsid w:val="00165645"/>
    <w:rsid w:val="00444C14"/>
    <w:rsid w:val="00607D8F"/>
    <w:rsid w:val="00664BC1"/>
    <w:rsid w:val="00667006"/>
    <w:rsid w:val="006D39B6"/>
    <w:rsid w:val="0081025D"/>
    <w:rsid w:val="00A20FD9"/>
    <w:rsid w:val="00B71D99"/>
    <w:rsid w:val="00BE7F4D"/>
    <w:rsid w:val="00D71E37"/>
    <w:rsid w:val="00E06A6B"/>
    <w:rsid w:val="00EF0DDE"/>
    <w:rsid w:val="00FE4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0D94"/>
  <w15:chartTrackingRefBased/>
  <w15:docId w15:val="{76E2F984-55F2-42DA-9863-2DF642A0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6D3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6D39B6"/>
    <w:rPr>
      <w:rFonts w:asciiTheme="majorHAnsi" w:eastAsiaTheme="majorEastAsia" w:hAnsiTheme="majorHAnsi" w:cstheme="majorBidi"/>
      <w:color w:val="2E74B5" w:themeColor="accent1" w:themeShade="BF"/>
      <w:sz w:val="26"/>
      <w:szCs w:val="26"/>
    </w:rPr>
  </w:style>
  <w:style w:type="character" w:styleId="a3">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link w:val="1"/>
    <w:qFormat/>
    <w:rsid w:val="006D39B6"/>
    <w:rPr>
      <w:vertAlign w:val="superscript"/>
    </w:rPr>
  </w:style>
  <w:style w:type="paragraph" w:styleId="a4">
    <w:name w:val="footnote text"/>
    <w:aliases w:val="Знак Знак,Текст сноски Знак Знак,Текст сноски НИВ,fn,Знак Знак Знак Знак1,Текст сноски Знак1 Знак,Текст сноски Знак Знак1 Знак,Знак Знак Знак1 Знак,Текст сноски Знак Знак1,Зна,F1,Текст сноски Знак1, Знак Знак Знак,f, Знак Знак Знак1 Знак"/>
    <w:basedOn w:val="a"/>
    <w:link w:val="a5"/>
    <w:uiPriority w:val="99"/>
    <w:qFormat/>
    <w:rsid w:val="006D39B6"/>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Знак Знак Знак,Текст сноски Знак Знак Знак,Текст сноски НИВ Знак,fn Знак,Знак Знак Знак Знак1 Знак,Текст сноски Знак1 Знак Знак,Текст сноски Знак Знак1 Знак Знак,Знак Знак Знак1 Знак Знак,Текст сноски Знак Знак1 Знак1,Зна Знак,F1 Знак"/>
    <w:basedOn w:val="a0"/>
    <w:link w:val="a4"/>
    <w:uiPriority w:val="99"/>
    <w:qFormat/>
    <w:rsid w:val="006D39B6"/>
    <w:rPr>
      <w:rFonts w:ascii="Times New Roman" w:eastAsia="Times New Roman" w:hAnsi="Times New Roman" w:cs="Times New Roman"/>
      <w:sz w:val="20"/>
      <w:szCs w:val="20"/>
      <w:lang w:eastAsia="ru-RU"/>
    </w:rPr>
  </w:style>
  <w:style w:type="character" w:styleId="a6">
    <w:name w:val="Hyperlink"/>
    <w:rsid w:val="006D39B6"/>
    <w:rPr>
      <w:color w:val="0563C1"/>
      <w:u w:val="single"/>
    </w:rPr>
  </w:style>
  <w:style w:type="paragraph" w:customStyle="1" w:styleId="1">
    <w:name w:val="Знак сноски1"/>
    <w:link w:val="a3"/>
    <w:uiPriority w:val="99"/>
    <w:rsid w:val="006D39B6"/>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КСП Евгения</dc:creator>
  <cp:keywords/>
  <dc:description/>
  <cp:lastModifiedBy>Ольга Карташева</cp:lastModifiedBy>
  <cp:revision>2</cp:revision>
  <dcterms:created xsi:type="dcterms:W3CDTF">2025-05-12T13:43:00Z</dcterms:created>
  <dcterms:modified xsi:type="dcterms:W3CDTF">2025-05-12T13:43:00Z</dcterms:modified>
</cp:coreProperties>
</file>