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FFE" w:rsidRDefault="00312FFE" w:rsidP="00312FFE">
      <w:pPr>
        <w:ind w:firstLine="567"/>
        <w:jc w:val="both"/>
        <w:rPr>
          <w:sz w:val="28"/>
          <w:szCs w:val="28"/>
        </w:rPr>
      </w:pPr>
      <w:r w:rsidRPr="00312FFE">
        <w:rPr>
          <w:sz w:val="28"/>
          <w:szCs w:val="28"/>
        </w:rPr>
        <w:t xml:space="preserve">Информация о результатах экспертно-аналитического мероприятия «На проект решения Совета муниципального образования Тимашевский район «О бюджете муниципального образования Тимашевский район на 2025 год и плановый период 2026 и 2027 годов»  </w:t>
      </w:r>
    </w:p>
    <w:p w:rsidR="00312FFE" w:rsidRDefault="00312FFE" w:rsidP="00312FFE">
      <w:pPr>
        <w:ind w:firstLine="567"/>
        <w:jc w:val="both"/>
        <w:rPr>
          <w:sz w:val="28"/>
          <w:szCs w:val="28"/>
        </w:rPr>
      </w:pPr>
    </w:p>
    <w:p w:rsidR="00312FFE" w:rsidRDefault="00312FFE" w:rsidP="00312FFE">
      <w:pPr>
        <w:ind w:firstLine="567"/>
        <w:jc w:val="both"/>
        <w:rPr>
          <w:sz w:val="28"/>
          <w:szCs w:val="28"/>
        </w:rPr>
      </w:pPr>
    </w:p>
    <w:p w:rsidR="00312FFE" w:rsidRDefault="00312FFE" w:rsidP="00312FFE">
      <w:pPr>
        <w:ind w:firstLine="567"/>
        <w:jc w:val="both"/>
        <w:rPr>
          <w:sz w:val="28"/>
          <w:szCs w:val="28"/>
        </w:rPr>
      </w:pPr>
      <w:r w:rsidRPr="00312FFE">
        <w:rPr>
          <w:sz w:val="28"/>
          <w:szCs w:val="28"/>
        </w:rPr>
        <w:t xml:space="preserve">В соответствии с пунктом </w:t>
      </w:r>
      <w:r>
        <w:rPr>
          <w:sz w:val="28"/>
          <w:szCs w:val="28"/>
        </w:rPr>
        <w:t>1.1</w:t>
      </w:r>
      <w:r w:rsidRPr="00312FFE">
        <w:rPr>
          <w:sz w:val="28"/>
          <w:szCs w:val="28"/>
        </w:rPr>
        <w:t xml:space="preserve"> плана работы Контрольно-счетной палаты </w:t>
      </w:r>
    </w:p>
    <w:p w:rsidR="00312FFE" w:rsidRDefault="00312FFE" w:rsidP="00312FFE">
      <w:pPr>
        <w:jc w:val="both"/>
        <w:rPr>
          <w:sz w:val="28"/>
          <w:szCs w:val="28"/>
        </w:rPr>
      </w:pPr>
      <w:r w:rsidRPr="00312FFE">
        <w:rPr>
          <w:bCs/>
          <w:sz w:val="28"/>
          <w:szCs w:val="28"/>
        </w:rPr>
        <w:t>муниципального образования Тимашевский район  на 2024 год (утвержден приказом председателя контрольно-счетной палаты муниципального образования Тимашевский район  от 27 декабря 2023 г. № 21</w:t>
      </w:r>
      <w:r>
        <w:rPr>
          <w:bCs/>
          <w:sz w:val="28"/>
          <w:szCs w:val="28"/>
        </w:rPr>
        <w:t>)</w:t>
      </w:r>
      <w:r w:rsidRPr="00312FFE">
        <w:rPr>
          <w:bCs/>
          <w:sz w:val="28"/>
          <w:szCs w:val="28"/>
        </w:rPr>
        <w:t>, в соответствии с Бюджетным кодексом Российской Федерации, Уставом  муниципального образования Тимашевский район, решением Совета муниципального образования Тимашевский район от 20.11.2013  № 351 «Об утверждении Положения о бюджетном процессе в муниципальном образовании Тимашевский район», Положением о контрольно-счётной палате муниципального образования Тимашевский район, утвержденного Решением Совета  муниципального образования Тимашевский район от 30.11.2011  № 176</w:t>
      </w:r>
      <w:r w:rsidRPr="00312FFE">
        <w:rPr>
          <w:b/>
          <w:bCs/>
        </w:rPr>
        <w:t xml:space="preserve"> </w:t>
      </w:r>
      <w:r w:rsidRPr="00312FFE">
        <w:rPr>
          <w:bCs/>
          <w:sz w:val="28"/>
          <w:szCs w:val="28"/>
        </w:rPr>
        <w:t>и иными нормативными правовыми актами (в редакции от 28.09.22 № 219)</w:t>
      </w:r>
      <w:r>
        <w:rPr>
          <w:bCs/>
          <w:sz w:val="28"/>
          <w:szCs w:val="28"/>
        </w:rPr>
        <w:t xml:space="preserve"> проведена экспертиза  </w:t>
      </w:r>
      <w:r w:rsidRPr="00312FFE">
        <w:rPr>
          <w:bCs/>
          <w:sz w:val="28"/>
          <w:szCs w:val="28"/>
        </w:rPr>
        <w:t>проект</w:t>
      </w:r>
      <w:r>
        <w:rPr>
          <w:bCs/>
          <w:sz w:val="28"/>
          <w:szCs w:val="28"/>
        </w:rPr>
        <w:t>а</w:t>
      </w:r>
      <w:r w:rsidRPr="00312FFE">
        <w:rPr>
          <w:bCs/>
          <w:sz w:val="28"/>
          <w:szCs w:val="28"/>
        </w:rPr>
        <w:t xml:space="preserve"> решения Совета муниципального образования Тимашевский район «О бюджете муниципального образования Тимашевский район на 2025 год и плановый период 2026 и 2027 годов»</w:t>
      </w:r>
      <w:r>
        <w:rPr>
          <w:bCs/>
          <w:sz w:val="28"/>
          <w:szCs w:val="28"/>
        </w:rPr>
        <w:t xml:space="preserve"> и документов, </w:t>
      </w:r>
      <w:r w:rsidRPr="00312FFE">
        <w:rPr>
          <w:sz w:val="28"/>
          <w:szCs w:val="28"/>
        </w:rPr>
        <w:t>представленных одновременно</w:t>
      </w:r>
      <w:r>
        <w:rPr>
          <w:sz w:val="28"/>
          <w:szCs w:val="28"/>
        </w:rPr>
        <w:t xml:space="preserve"> с ним. Заключение на проект решения от 28.11.2024 №376.</w:t>
      </w:r>
    </w:p>
    <w:p w:rsidR="00083A9C" w:rsidRPr="00083A9C" w:rsidRDefault="00083A9C" w:rsidP="00083A9C">
      <w:pPr>
        <w:ind w:firstLine="567"/>
        <w:jc w:val="both"/>
        <w:rPr>
          <w:sz w:val="28"/>
          <w:szCs w:val="28"/>
        </w:rPr>
      </w:pPr>
      <w:r w:rsidRPr="00083A9C">
        <w:rPr>
          <w:sz w:val="28"/>
          <w:szCs w:val="28"/>
        </w:rPr>
        <w:t xml:space="preserve">Проект бюджета сформирован в программном формате и состоит из 18 муниципальных программ и непрограммных мероприятий.  </w:t>
      </w:r>
    </w:p>
    <w:p w:rsidR="00083A9C" w:rsidRPr="00083A9C" w:rsidRDefault="00083A9C" w:rsidP="00083A9C">
      <w:pPr>
        <w:ind w:firstLine="567"/>
        <w:jc w:val="both"/>
        <w:rPr>
          <w:sz w:val="28"/>
          <w:szCs w:val="28"/>
        </w:rPr>
      </w:pPr>
      <w:r w:rsidRPr="00083A9C">
        <w:rPr>
          <w:sz w:val="28"/>
          <w:szCs w:val="28"/>
        </w:rPr>
        <w:t>В соответствии с требованиями пункта 4 статьи 169 БК РФ и пункта 12.2 статьи 12 Положения о бюджетном процессе проект бюджета составлен на три года: очередной финансовый год (2025 год) и на плановый период (2026 и 2027 годов), учтены положения пункта 4 статьи 184.1 БК РФ об утверждении проекта решения о бюджете путем изменения параметров планового периода утвержденного бюджета и добавления к ним параметров второго года планового периода.</w:t>
      </w:r>
    </w:p>
    <w:p w:rsidR="00083A9C" w:rsidRDefault="00083A9C" w:rsidP="00083A9C">
      <w:pPr>
        <w:ind w:firstLine="567"/>
        <w:jc w:val="both"/>
        <w:rPr>
          <w:sz w:val="28"/>
          <w:szCs w:val="28"/>
        </w:rPr>
      </w:pPr>
      <w:r w:rsidRPr="00083A9C">
        <w:rPr>
          <w:sz w:val="28"/>
          <w:szCs w:val="28"/>
        </w:rPr>
        <w:t>Проект решения состоит из 36 статей и 19 приложений, содержание которых (характеристики, показатели) отражает требования БК РФ, Положения о бюджетном процессе, Налогового кодекса РФ.</w:t>
      </w:r>
    </w:p>
    <w:p w:rsidR="00083A9C" w:rsidRPr="00083A9C" w:rsidRDefault="00083A9C" w:rsidP="00083A9C">
      <w:pPr>
        <w:ind w:firstLine="567"/>
        <w:jc w:val="both"/>
        <w:rPr>
          <w:sz w:val="28"/>
          <w:szCs w:val="28"/>
        </w:rPr>
      </w:pPr>
      <w:r w:rsidRPr="00083A9C">
        <w:rPr>
          <w:sz w:val="28"/>
          <w:szCs w:val="28"/>
        </w:rPr>
        <w:t xml:space="preserve">Проектом предлагается утвердить доходы бюджета на 2025 год в сумме 5 255 295,9 тыс. рублей (+ 20,6% к ожидаемому исполнению за 2024 год +898 117,2 тыс. рублей). Расходы – 5 238 058,4 тыс. рублей, или на 18,6 % больше ожидаемого объема исполнения в 2024 году. Профицит – 17 237,5 тыс. рублей (в 2024 году ожидается дефицит в сумме 59 967,8 тыс. рублей). Верхний предел муниципального внутреннего долга на 01.01.2026 год прогнозируется в сумме 51 712,5 тыс. рублей.  </w:t>
      </w:r>
    </w:p>
    <w:p w:rsidR="00083A9C" w:rsidRPr="00083A9C" w:rsidRDefault="00083A9C" w:rsidP="00083A9C">
      <w:pPr>
        <w:ind w:firstLine="567"/>
        <w:jc w:val="both"/>
        <w:rPr>
          <w:sz w:val="28"/>
          <w:szCs w:val="28"/>
        </w:rPr>
      </w:pPr>
      <w:r w:rsidRPr="00083A9C">
        <w:rPr>
          <w:sz w:val="28"/>
          <w:szCs w:val="28"/>
        </w:rPr>
        <w:t xml:space="preserve">В плановом периоде (2026 и 2027 годы) прогнозируется: </w:t>
      </w:r>
    </w:p>
    <w:p w:rsidR="00083A9C" w:rsidRPr="00083A9C" w:rsidRDefault="00083A9C" w:rsidP="00083A9C">
      <w:pPr>
        <w:ind w:firstLine="567"/>
        <w:jc w:val="both"/>
        <w:rPr>
          <w:sz w:val="28"/>
          <w:szCs w:val="28"/>
        </w:rPr>
      </w:pPr>
      <w:r w:rsidRPr="00083A9C">
        <w:rPr>
          <w:sz w:val="28"/>
          <w:szCs w:val="28"/>
        </w:rPr>
        <w:t xml:space="preserve"> уменьшение общего объема доходов 2026 года к уровню предыдущего года на 1 677 401,8 тыс. руб. или на 32,0 процента (в том числе за счет </w:t>
      </w:r>
      <w:r w:rsidRPr="00083A9C">
        <w:rPr>
          <w:sz w:val="28"/>
          <w:szCs w:val="28"/>
        </w:rPr>
        <w:lastRenderedPageBreak/>
        <w:t>прогнозируемого снижения налоговых и неналоговых поступлений на 18 240,8 тыс. рублей или на 1,3 процента и за счет уменьшения безвозмездных поступлений на 1 659 161,0 тыс. рублей или на 43,2 процента);</w:t>
      </w:r>
    </w:p>
    <w:p w:rsidR="00083A9C" w:rsidRPr="00083A9C" w:rsidRDefault="00083A9C" w:rsidP="00083A9C">
      <w:pPr>
        <w:ind w:firstLine="567"/>
        <w:jc w:val="both"/>
        <w:rPr>
          <w:sz w:val="28"/>
          <w:szCs w:val="28"/>
        </w:rPr>
      </w:pPr>
      <w:r w:rsidRPr="00083A9C">
        <w:rPr>
          <w:sz w:val="28"/>
          <w:szCs w:val="28"/>
        </w:rPr>
        <w:t>уменьшение общего объема доходов 2027 года к уровню предыдущего года на 358 653,0 тыс. руб. или на 10,0 процента (в том числе за счет прогнозируемого уменьшения налоговых и неналоговых поступлений на 5 974,0 тыс. рублей или на 0,4 процента и уменьшения безвозмездных поступлений на 352 679,0 тыс. рублей или на 16,2 процента).</w:t>
      </w:r>
    </w:p>
    <w:p w:rsidR="00083A9C" w:rsidRPr="00083A9C" w:rsidRDefault="00083A9C" w:rsidP="00083A9C">
      <w:pPr>
        <w:ind w:firstLine="567"/>
        <w:jc w:val="both"/>
        <w:rPr>
          <w:sz w:val="28"/>
          <w:szCs w:val="28"/>
        </w:rPr>
      </w:pPr>
      <w:r w:rsidRPr="00083A9C">
        <w:rPr>
          <w:sz w:val="28"/>
          <w:szCs w:val="28"/>
        </w:rPr>
        <w:t xml:space="preserve">В плановом периоде (2026 и 2027 годы) прогнозируется: </w:t>
      </w:r>
    </w:p>
    <w:p w:rsidR="00083A9C" w:rsidRPr="00083A9C" w:rsidRDefault="00083A9C" w:rsidP="00083A9C">
      <w:pPr>
        <w:ind w:firstLine="567"/>
        <w:jc w:val="both"/>
        <w:rPr>
          <w:sz w:val="28"/>
          <w:szCs w:val="28"/>
        </w:rPr>
      </w:pPr>
      <w:r w:rsidRPr="00083A9C">
        <w:rPr>
          <w:sz w:val="28"/>
          <w:szCs w:val="28"/>
        </w:rPr>
        <w:t xml:space="preserve">уменьшение общего объема расходов 2026 года к уровню предыдущего года на 1 677 401,8 тыс. руб. или на 32,0 процента; </w:t>
      </w:r>
    </w:p>
    <w:p w:rsidR="00083A9C" w:rsidRPr="00083A9C" w:rsidRDefault="00083A9C" w:rsidP="00083A9C">
      <w:pPr>
        <w:ind w:firstLine="567"/>
        <w:jc w:val="both"/>
        <w:rPr>
          <w:sz w:val="28"/>
          <w:szCs w:val="28"/>
        </w:rPr>
      </w:pPr>
      <w:r w:rsidRPr="00083A9C">
        <w:rPr>
          <w:sz w:val="28"/>
          <w:szCs w:val="28"/>
        </w:rPr>
        <w:t xml:space="preserve">уменьшение общего объема расходов 2027 года к уровню предыдущего года на 375 890,5 тыс. руб. или на 10,6 процента.  </w:t>
      </w:r>
    </w:p>
    <w:p w:rsidR="00083A9C" w:rsidRPr="00083A9C" w:rsidRDefault="00083A9C" w:rsidP="00083A9C">
      <w:pPr>
        <w:ind w:firstLine="567"/>
        <w:jc w:val="both"/>
        <w:rPr>
          <w:sz w:val="28"/>
          <w:szCs w:val="28"/>
        </w:rPr>
      </w:pPr>
      <w:r w:rsidRPr="00083A9C">
        <w:rPr>
          <w:sz w:val="28"/>
          <w:szCs w:val="28"/>
        </w:rPr>
        <w:t xml:space="preserve">В плановом периоде 2026 году прогнозируется профицит районного бюджета – 17 237,5 тыс. рублей, в 2027 году профицит в сумме 34 475,0 тыс. рублей. </w:t>
      </w:r>
    </w:p>
    <w:p w:rsidR="00083A9C" w:rsidRPr="00083A9C" w:rsidRDefault="00083A9C" w:rsidP="00083A9C">
      <w:pPr>
        <w:ind w:firstLine="567"/>
        <w:jc w:val="both"/>
        <w:rPr>
          <w:sz w:val="28"/>
          <w:szCs w:val="28"/>
        </w:rPr>
      </w:pPr>
      <w:r w:rsidRPr="00083A9C">
        <w:rPr>
          <w:sz w:val="28"/>
          <w:szCs w:val="28"/>
        </w:rPr>
        <w:t xml:space="preserve">Условно утвержденные расходы устанавливаются на 2026 год в объеме 106 519,6 тыс. рублей, на 2027 год- 218 090,8 тыс. рублей (3% и 6,8 % от расходов районного бюджета в соответствующем году).     </w:t>
      </w:r>
    </w:p>
    <w:p w:rsidR="00083A9C" w:rsidRDefault="00083A9C" w:rsidP="00083A9C">
      <w:pPr>
        <w:ind w:firstLine="567"/>
        <w:jc w:val="both"/>
        <w:rPr>
          <w:sz w:val="28"/>
          <w:szCs w:val="28"/>
        </w:rPr>
      </w:pPr>
      <w:r w:rsidRPr="00083A9C">
        <w:rPr>
          <w:sz w:val="28"/>
          <w:szCs w:val="28"/>
        </w:rPr>
        <w:t xml:space="preserve">Наряду с </w:t>
      </w:r>
      <w:r>
        <w:rPr>
          <w:sz w:val="28"/>
          <w:szCs w:val="28"/>
        </w:rPr>
        <w:t>замечаниями</w:t>
      </w:r>
      <w:r w:rsidRPr="00083A9C">
        <w:rPr>
          <w:sz w:val="28"/>
          <w:szCs w:val="28"/>
        </w:rPr>
        <w:t xml:space="preserve"> при формировании доходной части бюджета, допущенными отдельными главными администраторами доходов и </w:t>
      </w:r>
      <w:r>
        <w:rPr>
          <w:sz w:val="28"/>
          <w:szCs w:val="28"/>
        </w:rPr>
        <w:t>финансовым управлением</w:t>
      </w:r>
      <w:r w:rsidRPr="00083A9C">
        <w:rPr>
          <w:sz w:val="28"/>
          <w:szCs w:val="28"/>
        </w:rPr>
        <w:t xml:space="preserve">, экспертиза </w:t>
      </w:r>
      <w:r>
        <w:rPr>
          <w:sz w:val="28"/>
          <w:szCs w:val="28"/>
        </w:rPr>
        <w:t>также</w:t>
      </w:r>
      <w:r w:rsidRPr="00083A9C">
        <w:rPr>
          <w:sz w:val="28"/>
          <w:szCs w:val="28"/>
        </w:rPr>
        <w:t xml:space="preserve"> показала излишне консервативное прогнозирование на 2025-2027 годы налоговых доходов. </w:t>
      </w:r>
    </w:p>
    <w:p w:rsidR="00083A9C" w:rsidRDefault="00083A9C" w:rsidP="00083A9C">
      <w:pPr>
        <w:ind w:firstLine="567"/>
        <w:jc w:val="both"/>
        <w:rPr>
          <w:sz w:val="28"/>
          <w:szCs w:val="28"/>
        </w:rPr>
      </w:pPr>
      <w:r>
        <w:rPr>
          <w:sz w:val="28"/>
          <w:szCs w:val="28"/>
        </w:rPr>
        <w:t xml:space="preserve">Так в заключение КСП рекомендовано: </w:t>
      </w:r>
    </w:p>
    <w:p w:rsidR="00083A9C" w:rsidRPr="00083A9C" w:rsidRDefault="00083A9C" w:rsidP="00083A9C">
      <w:pPr>
        <w:ind w:firstLine="567"/>
        <w:jc w:val="both"/>
        <w:rPr>
          <w:sz w:val="28"/>
          <w:szCs w:val="28"/>
        </w:rPr>
      </w:pPr>
      <w:r>
        <w:rPr>
          <w:sz w:val="28"/>
          <w:szCs w:val="28"/>
        </w:rPr>
        <w:t>у</w:t>
      </w:r>
      <w:r w:rsidRPr="00083A9C">
        <w:rPr>
          <w:sz w:val="28"/>
          <w:szCs w:val="28"/>
        </w:rPr>
        <w:t xml:space="preserve">величить прогнозируемый объем по налогу на доходы физических лиц по КБК 182 1 01 02010 01 0000 110 в общей сумме на 157 153,2 тыс. рублей, в том числе 52870,3 тыс. рублей в 2026 г. и 104282,9 тыс. рублей в 2027 году.    </w:t>
      </w:r>
    </w:p>
    <w:p w:rsidR="00083A9C" w:rsidRPr="00083A9C" w:rsidRDefault="00083A9C" w:rsidP="00083A9C">
      <w:pPr>
        <w:ind w:firstLine="567"/>
        <w:jc w:val="both"/>
        <w:rPr>
          <w:sz w:val="28"/>
          <w:szCs w:val="28"/>
        </w:rPr>
      </w:pPr>
      <w:r>
        <w:rPr>
          <w:sz w:val="28"/>
          <w:szCs w:val="28"/>
        </w:rPr>
        <w:t xml:space="preserve">А также </w:t>
      </w:r>
      <w:r w:rsidR="003A2733">
        <w:rPr>
          <w:sz w:val="28"/>
          <w:szCs w:val="28"/>
        </w:rPr>
        <w:t>п</w:t>
      </w:r>
      <w:r w:rsidRPr="00083A9C">
        <w:rPr>
          <w:sz w:val="28"/>
          <w:szCs w:val="28"/>
        </w:rPr>
        <w:t>ривести в соответствие проект решения Совета муниципального образования Тимашевский район «О бюджете муниципального образования Тимашевский район на 2025 год и плановый период 2026 и 2027 годов» к Закону Краснодарского края «О бюджете Краснодарского рая на 2025 год и на плановый период 2026 и 2027 годов», откорректировав объем безвозмездных поступлений из краевого бюджета в форме:</w:t>
      </w:r>
    </w:p>
    <w:p w:rsidR="00083A9C" w:rsidRPr="00083A9C" w:rsidRDefault="00083A9C" w:rsidP="00083A9C">
      <w:pPr>
        <w:ind w:firstLine="567"/>
        <w:jc w:val="both"/>
        <w:rPr>
          <w:sz w:val="28"/>
          <w:szCs w:val="28"/>
        </w:rPr>
      </w:pPr>
      <w:r w:rsidRPr="00083A9C">
        <w:rPr>
          <w:sz w:val="28"/>
          <w:szCs w:val="28"/>
        </w:rPr>
        <w:t>субсидий на 2025 год увеличив на 384 148,6 тыс. рублей, на 2026 год уменьшив на 505,9 тыс. рублей;</w:t>
      </w:r>
    </w:p>
    <w:p w:rsidR="00083A9C" w:rsidRPr="00083A9C" w:rsidRDefault="00083A9C" w:rsidP="00083A9C">
      <w:pPr>
        <w:ind w:firstLine="567"/>
        <w:jc w:val="both"/>
        <w:rPr>
          <w:sz w:val="28"/>
          <w:szCs w:val="28"/>
        </w:rPr>
      </w:pPr>
      <w:r w:rsidRPr="00083A9C">
        <w:rPr>
          <w:sz w:val="28"/>
          <w:szCs w:val="28"/>
        </w:rPr>
        <w:t>субвенций на 2025 год увеличив на 72 999,8 тыс. рублей, на 2026 год увеличив на 82 260,3 тыс. рублей, на 2027 год увеличив на 68 352,9 тыс. рублей.</w:t>
      </w:r>
    </w:p>
    <w:p w:rsidR="00083A9C" w:rsidRDefault="003A2733" w:rsidP="00083A9C">
      <w:pPr>
        <w:ind w:firstLine="567"/>
        <w:jc w:val="both"/>
        <w:rPr>
          <w:sz w:val="28"/>
          <w:szCs w:val="28"/>
        </w:rPr>
      </w:pPr>
      <w:r w:rsidRPr="003A2733">
        <w:rPr>
          <w:sz w:val="28"/>
          <w:szCs w:val="28"/>
        </w:rPr>
        <w:t>Как и в предыдущие годы, расходы бюджета ориентированы на решение задач в области социально-культурной сферы. В структуре расходов районного бюджета на 2024 год бюджетные ассигнования по разделам социально-культурной сферы составляют 89,4 %, в 2025 году – 91,5%, в 2026 году- 88,6 %, в 2027 году- 82,9%</w:t>
      </w:r>
      <w:r>
        <w:rPr>
          <w:sz w:val="28"/>
          <w:szCs w:val="28"/>
        </w:rPr>
        <w:t>.</w:t>
      </w:r>
    </w:p>
    <w:p w:rsidR="003A2733" w:rsidRDefault="003A2733" w:rsidP="00083A9C">
      <w:pPr>
        <w:ind w:firstLine="567"/>
        <w:jc w:val="both"/>
        <w:rPr>
          <w:sz w:val="28"/>
          <w:szCs w:val="28"/>
        </w:rPr>
      </w:pPr>
      <w:r w:rsidRPr="003A2733">
        <w:rPr>
          <w:sz w:val="28"/>
          <w:szCs w:val="28"/>
        </w:rPr>
        <w:t>В 2025 году 9</w:t>
      </w:r>
      <w:r>
        <w:rPr>
          <w:sz w:val="28"/>
          <w:szCs w:val="28"/>
        </w:rPr>
        <w:t>5</w:t>
      </w:r>
      <w:r w:rsidRPr="003A2733">
        <w:rPr>
          <w:sz w:val="28"/>
          <w:szCs w:val="28"/>
        </w:rPr>
        <w:t xml:space="preserve"> % расходов будут исполняться в рамках </w:t>
      </w:r>
      <w:r>
        <w:rPr>
          <w:sz w:val="28"/>
          <w:szCs w:val="28"/>
        </w:rPr>
        <w:t>1</w:t>
      </w:r>
      <w:r w:rsidRPr="003A2733">
        <w:rPr>
          <w:sz w:val="28"/>
          <w:szCs w:val="28"/>
        </w:rPr>
        <w:t xml:space="preserve">8 </w:t>
      </w:r>
      <w:r>
        <w:rPr>
          <w:sz w:val="28"/>
          <w:szCs w:val="28"/>
        </w:rPr>
        <w:t>муниципальных программ</w:t>
      </w:r>
      <w:r w:rsidRPr="003A2733">
        <w:rPr>
          <w:sz w:val="28"/>
          <w:szCs w:val="28"/>
        </w:rPr>
        <w:t>.</w:t>
      </w:r>
    </w:p>
    <w:p w:rsidR="003A2733" w:rsidRPr="003A2733" w:rsidRDefault="003A2733" w:rsidP="003A2733">
      <w:pPr>
        <w:ind w:firstLine="567"/>
        <w:jc w:val="both"/>
        <w:rPr>
          <w:sz w:val="28"/>
          <w:szCs w:val="28"/>
        </w:rPr>
      </w:pPr>
      <w:r w:rsidRPr="003A2733">
        <w:rPr>
          <w:sz w:val="28"/>
          <w:szCs w:val="28"/>
        </w:rPr>
        <w:lastRenderedPageBreak/>
        <w:t xml:space="preserve">Специалистами </w:t>
      </w:r>
      <w:r>
        <w:rPr>
          <w:sz w:val="28"/>
          <w:szCs w:val="28"/>
        </w:rPr>
        <w:t>контрольно-счетной па</w:t>
      </w:r>
      <w:r w:rsidRPr="003A2733">
        <w:rPr>
          <w:sz w:val="28"/>
          <w:szCs w:val="28"/>
        </w:rPr>
        <w:t>латы проанализирован</w:t>
      </w:r>
      <w:r>
        <w:rPr>
          <w:sz w:val="28"/>
          <w:szCs w:val="28"/>
        </w:rPr>
        <w:t>о</w:t>
      </w:r>
      <w:r w:rsidRPr="003A2733">
        <w:rPr>
          <w:sz w:val="28"/>
          <w:szCs w:val="28"/>
        </w:rPr>
        <w:t xml:space="preserve"> финансово</w:t>
      </w:r>
      <w:r>
        <w:rPr>
          <w:sz w:val="28"/>
          <w:szCs w:val="28"/>
        </w:rPr>
        <w:t>е</w:t>
      </w:r>
      <w:r w:rsidRPr="003A2733">
        <w:rPr>
          <w:sz w:val="28"/>
          <w:szCs w:val="28"/>
        </w:rPr>
        <w:t xml:space="preserve"> обеспечени</w:t>
      </w:r>
      <w:r>
        <w:rPr>
          <w:sz w:val="28"/>
          <w:szCs w:val="28"/>
        </w:rPr>
        <w:t>е</w:t>
      </w:r>
      <w:r w:rsidRPr="003A2733">
        <w:rPr>
          <w:sz w:val="28"/>
          <w:szCs w:val="28"/>
        </w:rPr>
        <w:t xml:space="preserve"> муниципальных программ</w:t>
      </w:r>
      <w:r>
        <w:rPr>
          <w:sz w:val="28"/>
          <w:szCs w:val="28"/>
        </w:rPr>
        <w:t xml:space="preserve">. Анализ </w:t>
      </w:r>
      <w:r w:rsidRPr="003A2733">
        <w:rPr>
          <w:sz w:val="28"/>
          <w:szCs w:val="28"/>
        </w:rPr>
        <w:t xml:space="preserve">показал, что в представленных паспортах МП финансовые показатели не соответствуют показателям в проекте бюджета 2025 года на 436 715,6 тыс. рублей, 2026 года на 378 637,6 тыс. рублей и на 2027 год в сумме 507937,7 тыс. рублей, что нарушает принцип достоверности бюджета, установленный статьей 37 Бюджетного кодекса Российской Федерации.  </w:t>
      </w:r>
    </w:p>
    <w:p w:rsidR="00293C1B" w:rsidRDefault="003A2733" w:rsidP="00293C1B">
      <w:pPr>
        <w:ind w:firstLine="567"/>
        <w:jc w:val="both"/>
        <w:rPr>
          <w:sz w:val="28"/>
          <w:szCs w:val="28"/>
        </w:rPr>
      </w:pPr>
      <w:r w:rsidRPr="003A2733">
        <w:rPr>
          <w:sz w:val="28"/>
          <w:szCs w:val="28"/>
        </w:rPr>
        <w:t>КСП обращ</w:t>
      </w:r>
      <w:r w:rsidR="00140125">
        <w:rPr>
          <w:sz w:val="28"/>
          <w:szCs w:val="28"/>
        </w:rPr>
        <w:t>ено</w:t>
      </w:r>
      <w:r w:rsidRPr="003A2733">
        <w:rPr>
          <w:sz w:val="28"/>
          <w:szCs w:val="28"/>
        </w:rPr>
        <w:t xml:space="preserve"> внимание всех координаторов муниципальных программ, что в соответствии с пунктом 2 статьи 179 БК РФ, муниципальные программы подлежат приведению в соответствие с законом (решением) о бюджете не позднее 1 апреля текущего финансового года.</w:t>
      </w:r>
      <w:r w:rsidR="00293C1B">
        <w:rPr>
          <w:sz w:val="28"/>
          <w:szCs w:val="28"/>
        </w:rPr>
        <w:t xml:space="preserve"> </w:t>
      </w:r>
    </w:p>
    <w:p w:rsidR="00293C1B" w:rsidRDefault="00293C1B" w:rsidP="00293C1B">
      <w:pPr>
        <w:ind w:firstLine="567"/>
        <w:jc w:val="both"/>
        <w:rPr>
          <w:sz w:val="28"/>
          <w:szCs w:val="28"/>
        </w:rPr>
      </w:pPr>
      <w:r w:rsidRPr="00D81F65">
        <w:rPr>
          <w:sz w:val="28"/>
          <w:szCs w:val="28"/>
        </w:rPr>
        <w:t>Отделу экономики и прогнозирования администрации муниципального образования Тимашевский район</w:t>
      </w:r>
      <w:r>
        <w:rPr>
          <w:sz w:val="28"/>
          <w:szCs w:val="28"/>
        </w:rPr>
        <w:t xml:space="preserve"> рекомендовано</w:t>
      </w:r>
    </w:p>
    <w:p w:rsidR="00293C1B" w:rsidRPr="007F5608" w:rsidRDefault="00293C1B" w:rsidP="00293C1B">
      <w:pPr>
        <w:ind w:firstLine="567"/>
        <w:jc w:val="both"/>
        <w:rPr>
          <w:sz w:val="28"/>
          <w:szCs w:val="28"/>
        </w:rPr>
      </w:pPr>
      <w:r>
        <w:rPr>
          <w:sz w:val="28"/>
          <w:szCs w:val="28"/>
        </w:rPr>
        <w:t>у</w:t>
      </w:r>
      <w:r w:rsidRPr="007F5608">
        <w:rPr>
          <w:sz w:val="28"/>
          <w:szCs w:val="28"/>
        </w:rPr>
        <w:t>силить контроль за соблюдением установленных требований:</w:t>
      </w:r>
    </w:p>
    <w:p w:rsidR="00293C1B" w:rsidRPr="007F5608" w:rsidRDefault="00293C1B" w:rsidP="00293C1B">
      <w:pPr>
        <w:ind w:firstLine="567"/>
        <w:jc w:val="both"/>
        <w:rPr>
          <w:sz w:val="28"/>
          <w:szCs w:val="28"/>
        </w:rPr>
      </w:pPr>
      <w:r w:rsidRPr="007F5608">
        <w:rPr>
          <w:sz w:val="28"/>
          <w:szCs w:val="28"/>
        </w:rPr>
        <w:t>пункта 2.11 «Порядка разработки корректировки, осуществления мониторинга и контроля реализации прогнозов социально-экономического развития муниципального образования Тимашевский район на долгосрочные среднесрочные периоды» утвержденного постановлением главы администрации муниципального образования Тимашевский район от 23.12.2015 № 1235 (в редакции от 23.08.2018 №955);</w:t>
      </w:r>
    </w:p>
    <w:p w:rsidR="00293C1B" w:rsidRPr="007F5608" w:rsidRDefault="00293C1B" w:rsidP="00293C1B">
      <w:pPr>
        <w:ind w:firstLine="567"/>
        <w:jc w:val="both"/>
        <w:rPr>
          <w:sz w:val="28"/>
          <w:szCs w:val="28"/>
        </w:rPr>
      </w:pPr>
      <w:r w:rsidRPr="007F5608">
        <w:rPr>
          <w:sz w:val="28"/>
          <w:szCs w:val="28"/>
        </w:rPr>
        <w:t>статьи 12 Федерального закона от 28.06.2014 № 172-ФЗ «О стратегическом планировании в Российской Федерации», п</w:t>
      </w:r>
      <w:r>
        <w:rPr>
          <w:sz w:val="28"/>
          <w:szCs w:val="28"/>
        </w:rPr>
        <w:t xml:space="preserve">ункта </w:t>
      </w:r>
      <w:r w:rsidRPr="007F5608">
        <w:rPr>
          <w:sz w:val="28"/>
          <w:szCs w:val="28"/>
        </w:rPr>
        <w:t>12 Постановления Правительства РФ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p>
    <w:p w:rsidR="00293C1B" w:rsidRDefault="00293C1B" w:rsidP="00293C1B">
      <w:pPr>
        <w:ind w:firstLine="567"/>
        <w:jc w:val="both"/>
        <w:rPr>
          <w:sz w:val="28"/>
          <w:szCs w:val="28"/>
        </w:rPr>
      </w:pPr>
      <w:r w:rsidRPr="007F5608">
        <w:rPr>
          <w:sz w:val="28"/>
          <w:szCs w:val="28"/>
        </w:rPr>
        <w:t>пункта 7 «Порядка разработки и утверждения бюджетного прогноза муниципального образования Тимашевский район на долгосрочный период», утвержденного Постановлением администрации муниципального образования Тимашевский район от 20 июня 2022 г</w:t>
      </w:r>
      <w:r>
        <w:rPr>
          <w:sz w:val="28"/>
          <w:szCs w:val="28"/>
        </w:rPr>
        <w:t>ода.</w:t>
      </w:r>
    </w:p>
    <w:p w:rsidR="00083A9C" w:rsidRDefault="00293C1B" w:rsidP="00083A9C">
      <w:pPr>
        <w:ind w:firstLine="567"/>
        <w:jc w:val="both"/>
        <w:rPr>
          <w:sz w:val="28"/>
          <w:szCs w:val="28"/>
        </w:rPr>
      </w:pPr>
      <w:r>
        <w:rPr>
          <w:sz w:val="28"/>
          <w:szCs w:val="28"/>
        </w:rPr>
        <w:t xml:space="preserve">Заключение </w:t>
      </w:r>
      <w:r w:rsidR="004F5F29" w:rsidRPr="004F5F29">
        <w:rPr>
          <w:sz w:val="28"/>
          <w:szCs w:val="28"/>
        </w:rPr>
        <w:t>об итогах экспертизы направлен</w:t>
      </w:r>
      <w:r>
        <w:rPr>
          <w:sz w:val="28"/>
          <w:szCs w:val="28"/>
        </w:rPr>
        <w:t>о</w:t>
      </w:r>
      <w:r w:rsidR="004F5F29" w:rsidRPr="004F5F29">
        <w:rPr>
          <w:sz w:val="28"/>
          <w:szCs w:val="28"/>
        </w:rPr>
        <w:t xml:space="preserve"> </w:t>
      </w:r>
      <w:r w:rsidR="004F5F29">
        <w:rPr>
          <w:sz w:val="28"/>
          <w:szCs w:val="28"/>
        </w:rPr>
        <w:t>в</w:t>
      </w:r>
      <w:r w:rsidR="004F5F29" w:rsidRPr="004F5F29">
        <w:rPr>
          <w:sz w:val="28"/>
          <w:szCs w:val="28"/>
        </w:rPr>
        <w:t xml:space="preserve"> </w:t>
      </w:r>
      <w:r w:rsidR="004F5F29">
        <w:rPr>
          <w:sz w:val="28"/>
          <w:szCs w:val="28"/>
        </w:rPr>
        <w:t xml:space="preserve">финансовое управление </w:t>
      </w:r>
      <w:r>
        <w:rPr>
          <w:sz w:val="28"/>
          <w:szCs w:val="28"/>
        </w:rPr>
        <w:t xml:space="preserve">администрации </w:t>
      </w:r>
      <w:r w:rsidR="004F5F29">
        <w:rPr>
          <w:sz w:val="28"/>
          <w:szCs w:val="28"/>
        </w:rPr>
        <w:t>МО Тимашевский район</w:t>
      </w:r>
      <w:r>
        <w:rPr>
          <w:sz w:val="28"/>
          <w:szCs w:val="28"/>
        </w:rPr>
        <w:t xml:space="preserve">. </w:t>
      </w:r>
    </w:p>
    <w:p w:rsidR="001473BD" w:rsidRPr="001473BD" w:rsidRDefault="001473BD" w:rsidP="001473BD">
      <w:pPr>
        <w:ind w:firstLine="567"/>
        <w:jc w:val="both"/>
        <w:rPr>
          <w:sz w:val="28"/>
          <w:szCs w:val="28"/>
        </w:rPr>
      </w:pPr>
      <w:r w:rsidRPr="001473BD">
        <w:rPr>
          <w:sz w:val="28"/>
          <w:szCs w:val="28"/>
        </w:rPr>
        <w:t xml:space="preserve">С учетом рекомендаций специалистов </w:t>
      </w:r>
      <w:r>
        <w:rPr>
          <w:sz w:val="28"/>
          <w:szCs w:val="28"/>
        </w:rPr>
        <w:t>контрольно-счетной палаты</w:t>
      </w:r>
      <w:r w:rsidRPr="001473BD">
        <w:rPr>
          <w:sz w:val="28"/>
          <w:szCs w:val="28"/>
        </w:rPr>
        <w:t xml:space="preserve"> к рассмотрению </w:t>
      </w:r>
      <w:r>
        <w:rPr>
          <w:sz w:val="28"/>
          <w:szCs w:val="28"/>
        </w:rPr>
        <w:t xml:space="preserve">проекта бюджета </w:t>
      </w:r>
      <w:r w:rsidRPr="001473BD">
        <w:rPr>
          <w:sz w:val="28"/>
          <w:szCs w:val="28"/>
        </w:rPr>
        <w:t xml:space="preserve">на 2025-2027 годы добавлен прогнозируемый объем по налогу на доходы физических лиц </w:t>
      </w:r>
      <w:r>
        <w:rPr>
          <w:sz w:val="28"/>
          <w:szCs w:val="28"/>
        </w:rPr>
        <w:t xml:space="preserve">в </w:t>
      </w:r>
      <w:r w:rsidRPr="001473BD">
        <w:rPr>
          <w:sz w:val="28"/>
          <w:szCs w:val="28"/>
        </w:rPr>
        <w:t>общей сумме на 157 153,2 тыс. рублей</w:t>
      </w:r>
      <w:r>
        <w:rPr>
          <w:sz w:val="28"/>
          <w:szCs w:val="28"/>
        </w:rPr>
        <w:t xml:space="preserve">, а также </w:t>
      </w:r>
      <w:r w:rsidRPr="001473BD">
        <w:rPr>
          <w:sz w:val="28"/>
          <w:szCs w:val="28"/>
        </w:rPr>
        <w:t>откорректирова</w:t>
      </w:r>
      <w:r>
        <w:rPr>
          <w:sz w:val="28"/>
          <w:szCs w:val="28"/>
        </w:rPr>
        <w:t>н</w:t>
      </w:r>
      <w:r w:rsidRPr="001473BD">
        <w:rPr>
          <w:sz w:val="28"/>
          <w:szCs w:val="28"/>
        </w:rPr>
        <w:t xml:space="preserve"> объем безвозмездных поступлений из краевого бюджета </w:t>
      </w:r>
      <w:r>
        <w:rPr>
          <w:sz w:val="28"/>
          <w:szCs w:val="28"/>
        </w:rPr>
        <w:t>на сумму 608267,5 тыс. рублей.</w:t>
      </w:r>
      <w:bookmarkStart w:id="0" w:name="_GoBack"/>
      <w:bookmarkEnd w:id="0"/>
    </w:p>
    <w:p w:rsidR="001473BD" w:rsidRDefault="001473BD" w:rsidP="00083A9C">
      <w:pPr>
        <w:ind w:firstLine="567"/>
        <w:jc w:val="both"/>
        <w:rPr>
          <w:sz w:val="28"/>
          <w:szCs w:val="28"/>
        </w:rPr>
      </w:pPr>
    </w:p>
    <w:p w:rsidR="00312FFE" w:rsidRDefault="00312FFE" w:rsidP="00312FFE">
      <w:pPr>
        <w:jc w:val="both"/>
        <w:rPr>
          <w:sz w:val="28"/>
          <w:szCs w:val="28"/>
        </w:rPr>
      </w:pPr>
    </w:p>
    <w:p w:rsidR="00312FFE" w:rsidRDefault="00312FFE" w:rsidP="00312FFE">
      <w:pPr>
        <w:jc w:val="both"/>
        <w:outlineLvl w:val="1"/>
        <w:rPr>
          <w:sz w:val="28"/>
          <w:szCs w:val="28"/>
        </w:rPr>
      </w:pPr>
    </w:p>
    <w:p w:rsidR="00312FFE" w:rsidRPr="00312FFE" w:rsidRDefault="00312FFE" w:rsidP="00312FFE">
      <w:pPr>
        <w:jc w:val="both"/>
        <w:outlineLvl w:val="1"/>
        <w:rPr>
          <w:sz w:val="28"/>
          <w:szCs w:val="28"/>
        </w:rPr>
      </w:pPr>
      <w:r w:rsidRPr="00312FFE">
        <w:rPr>
          <w:sz w:val="28"/>
          <w:szCs w:val="28"/>
        </w:rPr>
        <w:t xml:space="preserve"> </w:t>
      </w:r>
    </w:p>
    <w:p w:rsidR="005848DF" w:rsidRPr="00312FFE" w:rsidRDefault="005848DF" w:rsidP="00312FFE">
      <w:pPr>
        <w:ind w:firstLine="567"/>
        <w:jc w:val="both"/>
        <w:rPr>
          <w:sz w:val="28"/>
          <w:szCs w:val="28"/>
        </w:rPr>
      </w:pPr>
    </w:p>
    <w:sectPr w:rsidR="005848DF" w:rsidRPr="00312F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FFE" w:rsidRDefault="00312FFE" w:rsidP="00312FFE">
      <w:r>
        <w:separator/>
      </w:r>
    </w:p>
  </w:endnote>
  <w:endnote w:type="continuationSeparator" w:id="0">
    <w:p w:rsidR="00312FFE" w:rsidRDefault="00312FFE" w:rsidP="0031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FFE" w:rsidRDefault="00312FFE" w:rsidP="00312FFE">
      <w:r>
        <w:separator/>
      </w:r>
    </w:p>
  </w:footnote>
  <w:footnote w:type="continuationSeparator" w:id="0">
    <w:p w:rsidR="00312FFE" w:rsidRDefault="00312FFE" w:rsidP="00312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FE"/>
    <w:rsid w:val="00083A9C"/>
    <w:rsid w:val="00140125"/>
    <w:rsid w:val="001473BD"/>
    <w:rsid w:val="00293C1B"/>
    <w:rsid w:val="00312FFE"/>
    <w:rsid w:val="003A2733"/>
    <w:rsid w:val="004F5F29"/>
    <w:rsid w:val="005848DF"/>
    <w:rsid w:val="00585C43"/>
    <w:rsid w:val="00F9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3C6D"/>
  <w15:chartTrackingRefBased/>
  <w15:docId w15:val="{4948CE10-7ECF-40BD-9333-41C8015E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43"/>
    <w:rPr>
      <w:sz w:val="24"/>
      <w:szCs w:val="24"/>
      <w:lang w:eastAsia="ru-RU"/>
    </w:rPr>
  </w:style>
  <w:style w:type="paragraph" w:styleId="1">
    <w:name w:val="heading 1"/>
    <w:basedOn w:val="a"/>
    <w:next w:val="a"/>
    <w:link w:val="10"/>
    <w:qFormat/>
    <w:rsid w:val="00585C43"/>
    <w:pPr>
      <w:keepNext/>
      <w:spacing w:before="240" w:after="60"/>
      <w:outlineLvl w:val="0"/>
    </w:pPr>
    <w:rPr>
      <w:rFonts w:ascii="Cambria" w:hAnsi="Cambria"/>
      <w:b/>
      <w:bCs/>
      <w:kern w:val="32"/>
      <w:sz w:val="32"/>
      <w:szCs w:val="32"/>
      <w:lang w:eastAsia="en-US"/>
    </w:rPr>
  </w:style>
  <w:style w:type="paragraph" w:styleId="2">
    <w:name w:val="heading 2"/>
    <w:basedOn w:val="a"/>
    <w:link w:val="20"/>
    <w:qFormat/>
    <w:rsid w:val="00585C43"/>
    <w:pPr>
      <w:spacing w:before="100" w:beforeAutospacing="1" w:after="100" w:afterAutospacing="1"/>
      <w:outlineLvl w:val="1"/>
    </w:pPr>
    <w:rPr>
      <w:b/>
      <w:bCs/>
      <w:color w:val="2F4047"/>
    </w:rPr>
  </w:style>
  <w:style w:type="paragraph" w:styleId="3">
    <w:name w:val="heading 3"/>
    <w:basedOn w:val="a"/>
    <w:next w:val="a"/>
    <w:link w:val="30"/>
    <w:qFormat/>
    <w:rsid w:val="00585C43"/>
    <w:pPr>
      <w:keepNext/>
      <w:jc w:val="center"/>
      <w:outlineLvl w:val="2"/>
    </w:pPr>
    <w:rPr>
      <w:i/>
      <w:szCs w:val="20"/>
      <w:lang w:eastAsia="en-US"/>
    </w:rPr>
  </w:style>
  <w:style w:type="paragraph" w:styleId="4">
    <w:name w:val="heading 4"/>
    <w:basedOn w:val="a"/>
    <w:next w:val="a"/>
    <w:link w:val="40"/>
    <w:qFormat/>
    <w:rsid w:val="00585C43"/>
    <w:pPr>
      <w:keepNext/>
      <w:outlineLvl w:val="3"/>
    </w:pPr>
    <w:rPr>
      <w:i/>
      <w:sz w:val="20"/>
      <w:szCs w:val="20"/>
      <w:lang w:eastAsia="en-US"/>
    </w:rPr>
  </w:style>
  <w:style w:type="paragraph" w:styleId="5">
    <w:name w:val="heading 5"/>
    <w:basedOn w:val="a"/>
    <w:next w:val="a"/>
    <w:link w:val="50"/>
    <w:qFormat/>
    <w:rsid w:val="00585C43"/>
    <w:pPr>
      <w:keepNext/>
      <w:widowControl w:val="0"/>
      <w:jc w:val="both"/>
      <w:outlineLvl w:val="4"/>
    </w:pPr>
    <w:rPr>
      <w:snapToGrid w:val="0"/>
      <w:sz w:val="28"/>
      <w:szCs w:val="20"/>
      <w:lang w:eastAsia="en-US"/>
    </w:rPr>
  </w:style>
  <w:style w:type="paragraph" w:styleId="6">
    <w:name w:val="heading 6"/>
    <w:basedOn w:val="a"/>
    <w:next w:val="a"/>
    <w:link w:val="60"/>
    <w:qFormat/>
    <w:rsid w:val="00585C43"/>
    <w:pPr>
      <w:keepNext/>
      <w:ind w:firstLine="720"/>
      <w:jc w:val="center"/>
      <w:outlineLvl w:val="5"/>
    </w:pPr>
    <w:rPr>
      <w:i/>
      <w:sz w:val="28"/>
      <w:szCs w:val="20"/>
      <w:lang w:eastAsia="en-US"/>
    </w:rPr>
  </w:style>
  <w:style w:type="paragraph" w:styleId="7">
    <w:name w:val="heading 7"/>
    <w:basedOn w:val="a"/>
    <w:next w:val="a"/>
    <w:link w:val="70"/>
    <w:qFormat/>
    <w:rsid w:val="00585C43"/>
    <w:pPr>
      <w:keepNext/>
      <w:jc w:val="center"/>
      <w:outlineLvl w:val="6"/>
    </w:pPr>
    <w:rPr>
      <w:b/>
      <w:sz w:val="28"/>
      <w:szCs w:val="20"/>
      <w:lang w:eastAsia="en-US"/>
    </w:rPr>
  </w:style>
  <w:style w:type="paragraph" w:styleId="8">
    <w:name w:val="heading 8"/>
    <w:basedOn w:val="a"/>
    <w:next w:val="a"/>
    <w:link w:val="80"/>
    <w:qFormat/>
    <w:rsid w:val="00585C43"/>
    <w:pPr>
      <w:spacing w:before="240" w:after="60"/>
      <w:outlineLvl w:val="7"/>
    </w:pPr>
    <w:rPr>
      <w:i/>
      <w:iCs/>
      <w:lang w:eastAsia="en-US"/>
    </w:rPr>
  </w:style>
  <w:style w:type="paragraph" w:styleId="9">
    <w:name w:val="heading 9"/>
    <w:basedOn w:val="a"/>
    <w:next w:val="a"/>
    <w:link w:val="90"/>
    <w:qFormat/>
    <w:rsid w:val="00585C43"/>
    <w:pPr>
      <w:keepNext/>
      <w:widowControl w:val="0"/>
      <w:ind w:firstLine="680"/>
      <w:jc w:val="right"/>
      <w:outlineLvl w:val="8"/>
    </w:pPr>
    <w:rPr>
      <w:snapToGrid w:val="0"/>
      <w:sz w:val="28"/>
      <w:szCs w:val="20"/>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85C43"/>
    <w:rPr>
      <w:rFonts w:ascii="Cambria" w:hAnsi="Cambria"/>
      <w:b/>
      <w:bCs/>
      <w:kern w:val="32"/>
      <w:sz w:val="32"/>
      <w:szCs w:val="32"/>
    </w:rPr>
  </w:style>
  <w:style w:type="character" w:customStyle="1" w:styleId="20">
    <w:name w:val="Заголовок 2 Знак"/>
    <w:basedOn w:val="a0"/>
    <w:link w:val="2"/>
    <w:rsid w:val="00585C43"/>
    <w:rPr>
      <w:b/>
      <w:bCs/>
      <w:color w:val="2F4047"/>
      <w:sz w:val="24"/>
      <w:szCs w:val="24"/>
      <w:lang w:eastAsia="ru-RU"/>
    </w:rPr>
  </w:style>
  <w:style w:type="character" w:customStyle="1" w:styleId="30">
    <w:name w:val="Заголовок 3 Знак"/>
    <w:link w:val="3"/>
    <w:rsid w:val="00585C43"/>
    <w:rPr>
      <w:i/>
      <w:sz w:val="24"/>
    </w:rPr>
  </w:style>
  <w:style w:type="character" w:customStyle="1" w:styleId="40">
    <w:name w:val="Заголовок 4 Знак"/>
    <w:link w:val="4"/>
    <w:rsid w:val="00585C43"/>
    <w:rPr>
      <w:i/>
    </w:rPr>
  </w:style>
  <w:style w:type="character" w:customStyle="1" w:styleId="50">
    <w:name w:val="Заголовок 5 Знак"/>
    <w:link w:val="5"/>
    <w:rsid w:val="00585C43"/>
    <w:rPr>
      <w:snapToGrid w:val="0"/>
      <w:sz w:val="28"/>
    </w:rPr>
  </w:style>
  <w:style w:type="character" w:customStyle="1" w:styleId="60">
    <w:name w:val="Заголовок 6 Знак"/>
    <w:link w:val="6"/>
    <w:rsid w:val="00585C43"/>
    <w:rPr>
      <w:i/>
      <w:sz w:val="28"/>
    </w:rPr>
  </w:style>
  <w:style w:type="character" w:customStyle="1" w:styleId="70">
    <w:name w:val="Заголовок 7 Знак"/>
    <w:link w:val="7"/>
    <w:rsid w:val="00585C43"/>
    <w:rPr>
      <w:b/>
      <w:sz w:val="28"/>
    </w:rPr>
  </w:style>
  <w:style w:type="character" w:customStyle="1" w:styleId="80">
    <w:name w:val="Заголовок 8 Знак"/>
    <w:link w:val="8"/>
    <w:rsid w:val="00585C43"/>
    <w:rPr>
      <w:i/>
      <w:iCs/>
      <w:sz w:val="24"/>
      <w:szCs w:val="24"/>
    </w:rPr>
  </w:style>
  <w:style w:type="character" w:customStyle="1" w:styleId="90">
    <w:name w:val="Заголовок 9 Знак"/>
    <w:link w:val="9"/>
    <w:rsid w:val="00585C43"/>
    <w:rPr>
      <w:snapToGrid w:val="0"/>
      <w:sz w:val="28"/>
    </w:rPr>
  </w:style>
  <w:style w:type="paragraph" w:styleId="a3">
    <w:name w:val="footnote text"/>
    <w:aliases w:val=" Знак,Знак Знак,Текст сноски Знак Знак,Текст сноски НИВ,fn,Знак Знак Знак Знак1, Знак Знак Знак,Текст сноски Знак1 Знак,Текст сноски Знак Знак1 Знак, Знак Знак Знак1 Знак,Знак Знак Знак1 Знак,Текст сноски Знак1,Текст сноски Знак Знак1,Знак"/>
    <w:basedOn w:val="a"/>
    <w:link w:val="a4"/>
    <w:uiPriority w:val="99"/>
    <w:qFormat/>
    <w:rsid w:val="00585C43"/>
    <w:rPr>
      <w:sz w:val="20"/>
      <w:szCs w:val="20"/>
      <w:lang w:eastAsia="en-US"/>
    </w:rPr>
  </w:style>
  <w:style w:type="character" w:customStyle="1" w:styleId="a4">
    <w:name w:val="Текст сноски Знак"/>
    <w:aliases w:val=" Знак Знак,Знак Знак Знак,Текст сноски Знак Знак Знак,Текст сноски НИВ Знак,fn Знак,Знак Знак Знак Знак1 Знак, Знак Знак Знак Знак,Текст сноски Знак1 Знак Знак,Текст сноски Знак Знак1 Знак Знак, Знак Знак Знак1 Знак Знак,Знак Знак1"/>
    <w:basedOn w:val="a0"/>
    <w:link w:val="a3"/>
    <w:uiPriority w:val="99"/>
    <w:qFormat/>
    <w:rsid w:val="00585C43"/>
  </w:style>
  <w:style w:type="paragraph" w:styleId="a5">
    <w:name w:val="caption"/>
    <w:basedOn w:val="a"/>
    <w:next w:val="a"/>
    <w:qFormat/>
    <w:rsid w:val="00585C43"/>
    <w:pPr>
      <w:spacing w:before="120" w:after="120"/>
    </w:pPr>
    <w:rPr>
      <w:b/>
      <w:sz w:val="20"/>
      <w:szCs w:val="20"/>
    </w:rPr>
  </w:style>
  <w:style w:type="character" w:styleId="a6">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link w:val="11"/>
    <w:uiPriority w:val="99"/>
    <w:qFormat/>
    <w:rsid w:val="00585C43"/>
    <w:rPr>
      <w:vertAlign w:val="superscript"/>
    </w:rPr>
  </w:style>
  <w:style w:type="paragraph" w:customStyle="1" w:styleId="12">
    <w:name w:val="1"/>
    <w:basedOn w:val="a"/>
    <w:next w:val="a7"/>
    <w:link w:val="a8"/>
    <w:qFormat/>
    <w:rsid w:val="00585C43"/>
    <w:pPr>
      <w:jc w:val="center"/>
    </w:pPr>
    <w:rPr>
      <w:i/>
      <w:sz w:val="28"/>
      <w:szCs w:val="20"/>
      <w:lang w:eastAsia="en-US"/>
    </w:rPr>
  </w:style>
  <w:style w:type="character" w:customStyle="1" w:styleId="a8">
    <w:name w:val="Название Знак"/>
    <w:link w:val="12"/>
    <w:rsid w:val="00585C43"/>
    <w:rPr>
      <w:i/>
      <w:sz w:val="28"/>
    </w:rPr>
  </w:style>
  <w:style w:type="paragraph" w:styleId="a7">
    <w:name w:val="Title"/>
    <w:basedOn w:val="a"/>
    <w:next w:val="a"/>
    <w:link w:val="a9"/>
    <w:uiPriority w:val="10"/>
    <w:rsid w:val="00585C43"/>
    <w:pPr>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7"/>
    <w:uiPriority w:val="10"/>
    <w:rsid w:val="00585C43"/>
    <w:rPr>
      <w:rFonts w:asciiTheme="majorHAnsi" w:eastAsiaTheme="majorEastAsia" w:hAnsiTheme="majorHAnsi" w:cstheme="majorBidi"/>
      <w:spacing w:val="-10"/>
      <w:kern w:val="28"/>
      <w:sz w:val="56"/>
      <w:szCs w:val="56"/>
      <w:lang w:eastAsia="ru-RU"/>
    </w:rPr>
  </w:style>
  <w:style w:type="paragraph" w:styleId="aa">
    <w:name w:val="No Spacing"/>
    <w:qFormat/>
    <w:rsid w:val="00585C43"/>
    <w:pPr>
      <w:ind w:firstLine="720"/>
      <w:jc w:val="both"/>
    </w:pPr>
    <w:rPr>
      <w:sz w:val="28"/>
      <w:lang w:eastAsia="ru-RU"/>
    </w:rPr>
  </w:style>
  <w:style w:type="paragraph" w:styleId="ab">
    <w:name w:val="List Paragraph"/>
    <w:basedOn w:val="a"/>
    <w:qFormat/>
    <w:rsid w:val="00585C43"/>
    <w:pPr>
      <w:spacing w:after="200" w:line="276" w:lineRule="auto"/>
      <w:ind w:left="720"/>
    </w:pPr>
    <w:rPr>
      <w:rFonts w:ascii="Calibri" w:eastAsia="Calibri" w:hAnsi="Calibri"/>
      <w:sz w:val="22"/>
      <w:szCs w:val="20"/>
    </w:rPr>
  </w:style>
  <w:style w:type="paragraph" w:customStyle="1" w:styleId="11">
    <w:name w:val="Знак сноски1"/>
    <w:link w:val="a6"/>
    <w:uiPriority w:val="99"/>
    <w:rsid w:val="00312FFE"/>
    <w:pPr>
      <w:spacing w:line="360"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1147</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Карташева</dc:creator>
  <cp:keywords/>
  <dc:description/>
  <cp:lastModifiedBy>Ольга Карташева</cp:lastModifiedBy>
  <cp:revision>5</cp:revision>
  <dcterms:created xsi:type="dcterms:W3CDTF">2024-12-09T08:28:00Z</dcterms:created>
  <dcterms:modified xsi:type="dcterms:W3CDTF">2024-12-23T07:14:00Z</dcterms:modified>
</cp:coreProperties>
</file>