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9B6" w:rsidRPr="006D39B6" w:rsidRDefault="006D39B6" w:rsidP="006D39B6">
      <w:pPr>
        <w:jc w:val="center"/>
        <w:rPr>
          <w:rFonts w:ascii="Times New Roman" w:hAnsi="Times New Roman" w:cs="Times New Roman"/>
          <w:sz w:val="28"/>
          <w:szCs w:val="28"/>
        </w:rPr>
      </w:pPr>
      <w:r w:rsidRPr="006D39B6">
        <w:rPr>
          <w:rFonts w:ascii="Times New Roman" w:hAnsi="Times New Roman" w:cs="Times New Roman"/>
          <w:sz w:val="28"/>
          <w:szCs w:val="28"/>
        </w:rPr>
        <w:t xml:space="preserve"> ИНФОРМАЦИЯ ПО РЕЗУЛЬТАТАМ ВНЕШНЕЙ ПРОВЕРКИ ОТЧЕТА ОБ ИСПОЛНЕНИИ БЮДЖЕТА МУНИЦИПАЛЬНОГО ОБРАЗОВАНИЯ ТИМАШЕВСКИЙ РАЙОН ЗА 2024 ГОД</w:t>
      </w:r>
    </w:p>
    <w:p w:rsidR="006D39B6" w:rsidRPr="006D39B6" w:rsidRDefault="006D39B6" w:rsidP="006D39B6">
      <w:pPr>
        <w:jc w:val="center"/>
        <w:rPr>
          <w:rFonts w:ascii="Times New Roman" w:hAnsi="Times New Roman" w:cs="Times New Roman"/>
          <w:sz w:val="28"/>
          <w:szCs w:val="28"/>
        </w:rPr>
      </w:pPr>
    </w:p>
    <w:p w:rsidR="006D39B6" w:rsidRPr="006D39B6" w:rsidRDefault="00607D8F" w:rsidP="006D39B6">
      <w:pPr>
        <w:spacing w:after="0" w:line="240" w:lineRule="auto"/>
        <w:ind w:firstLine="709"/>
        <w:jc w:val="both"/>
        <w:rPr>
          <w:rFonts w:ascii="Times New Roman" w:hAnsi="Times New Roman" w:cs="Times New Roman"/>
          <w:b/>
          <w:sz w:val="28"/>
          <w:szCs w:val="28"/>
        </w:rPr>
      </w:pPr>
      <w:r w:rsidRPr="00607D8F">
        <w:rPr>
          <w:rFonts w:ascii="Times New Roman" w:hAnsi="Times New Roman" w:cs="Times New Roman"/>
          <w:sz w:val="28"/>
          <w:szCs w:val="28"/>
        </w:rPr>
        <w:t xml:space="preserve">В соответствии с </w:t>
      </w:r>
      <w:r w:rsidR="00E06A6B" w:rsidRPr="00E06A6B">
        <w:rPr>
          <w:rFonts w:ascii="Times New Roman" w:hAnsi="Times New Roman" w:cs="Times New Roman"/>
          <w:sz w:val="28"/>
          <w:szCs w:val="28"/>
        </w:rPr>
        <w:t>План</w:t>
      </w:r>
      <w:r w:rsidR="00667006">
        <w:rPr>
          <w:rFonts w:ascii="Times New Roman" w:hAnsi="Times New Roman" w:cs="Times New Roman"/>
          <w:sz w:val="28"/>
          <w:szCs w:val="28"/>
        </w:rPr>
        <w:t>ом</w:t>
      </w:r>
      <w:r w:rsidR="00E06A6B" w:rsidRPr="00E06A6B">
        <w:rPr>
          <w:rFonts w:ascii="Times New Roman" w:hAnsi="Times New Roman" w:cs="Times New Roman"/>
          <w:sz w:val="28"/>
          <w:szCs w:val="28"/>
        </w:rPr>
        <w:t xml:space="preserve"> работы контрольно-счетной палаты муниципального образования Тимашевский район на 202</w:t>
      </w:r>
      <w:r w:rsidR="00D71E37">
        <w:rPr>
          <w:rFonts w:ascii="Times New Roman" w:hAnsi="Times New Roman" w:cs="Times New Roman"/>
          <w:sz w:val="28"/>
          <w:szCs w:val="28"/>
        </w:rPr>
        <w:t>5</w:t>
      </w:r>
      <w:r w:rsidR="00E06A6B" w:rsidRPr="00E06A6B">
        <w:rPr>
          <w:rFonts w:ascii="Times New Roman" w:hAnsi="Times New Roman" w:cs="Times New Roman"/>
          <w:sz w:val="28"/>
          <w:szCs w:val="28"/>
        </w:rPr>
        <w:t xml:space="preserve"> год, распоряжени</w:t>
      </w:r>
      <w:r w:rsidR="00667006">
        <w:rPr>
          <w:rFonts w:ascii="Times New Roman" w:hAnsi="Times New Roman" w:cs="Times New Roman"/>
          <w:sz w:val="28"/>
          <w:szCs w:val="28"/>
        </w:rPr>
        <w:t>ем</w:t>
      </w:r>
      <w:r w:rsidR="00E06A6B" w:rsidRPr="00E06A6B">
        <w:rPr>
          <w:rFonts w:ascii="Times New Roman" w:hAnsi="Times New Roman" w:cs="Times New Roman"/>
          <w:sz w:val="28"/>
          <w:szCs w:val="28"/>
        </w:rPr>
        <w:t xml:space="preserve"> председателя на проведение контрольного мероприятия от </w:t>
      </w:r>
      <w:r w:rsidR="006D39B6">
        <w:rPr>
          <w:rFonts w:ascii="Times New Roman" w:hAnsi="Times New Roman" w:cs="Times New Roman"/>
          <w:sz w:val="28"/>
          <w:szCs w:val="28"/>
        </w:rPr>
        <w:t>01</w:t>
      </w:r>
      <w:r w:rsidR="00E06A6B" w:rsidRPr="00E06A6B">
        <w:rPr>
          <w:rFonts w:ascii="Times New Roman" w:hAnsi="Times New Roman" w:cs="Times New Roman"/>
          <w:sz w:val="28"/>
          <w:szCs w:val="28"/>
        </w:rPr>
        <w:t>.0</w:t>
      </w:r>
      <w:r w:rsidR="006D39B6">
        <w:rPr>
          <w:rFonts w:ascii="Times New Roman" w:hAnsi="Times New Roman" w:cs="Times New Roman"/>
          <w:sz w:val="28"/>
          <w:szCs w:val="28"/>
        </w:rPr>
        <w:t>4</w:t>
      </w:r>
      <w:r w:rsidR="00E06A6B" w:rsidRPr="00E06A6B">
        <w:rPr>
          <w:rFonts w:ascii="Times New Roman" w:hAnsi="Times New Roman" w:cs="Times New Roman"/>
          <w:sz w:val="28"/>
          <w:szCs w:val="28"/>
        </w:rPr>
        <w:t>.202</w:t>
      </w:r>
      <w:r w:rsidR="00D71E37">
        <w:rPr>
          <w:rFonts w:ascii="Times New Roman" w:hAnsi="Times New Roman" w:cs="Times New Roman"/>
          <w:sz w:val="28"/>
          <w:szCs w:val="28"/>
        </w:rPr>
        <w:t>5</w:t>
      </w:r>
      <w:r w:rsidR="00E06A6B" w:rsidRPr="00E06A6B">
        <w:rPr>
          <w:rFonts w:ascii="Times New Roman" w:hAnsi="Times New Roman" w:cs="Times New Roman"/>
          <w:sz w:val="28"/>
          <w:szCs w:val="28"/>
        </w:rPr>
        <w:t xml:space="preserve"> № </w:t>
      </w:r>
      <w:r w:rsidR="006D39B6">
        <w:rPr>
          <w:rFonts w:ascii="Times New Roman" w:hAnsi="Times New Roman" w:cs="Times New Roman"/>
          <w:sz w:val="28"/>
          <w:szCs w:val="28"/>
        </w:rPr>
        <w:t>83</w:t>
      </w:r>
      <w:r w:rsidR="00667006">
        <w:rPr>
          <w:rFonts w:ascii="Times New Roman" w:hAnsi="Times New Roman" w:cs="Times New Roman"/>
          <w:sz w:val="28"/>
          <w:szCs w:val="28"/>
        </w:rPr>
        <w:t>, заместителем председателя</w:t>
      </w:r>
      <w:r w:rsidRPr="00607D8F">
        <w:rPr>
          <w:rFonts w:ascii="Times New Roman" w:hAnsi="Times New Roman" w:cs="Times New Roman"/>
          <w:sz w:val="28"/>
          <w:szCs w:val="28"/>
        </w:rPr>
        <w:t xml:space="preserve"> </w:t>
      </w:r>
      <w:r w:rsidR="00667006">
        <w:rPr>
          <w:rFonts w:ascii="Times New Roman" w:hAnsi="Times New Roman" w:cs="Times New Roman"/>
          <w:sz w:val="28"/>
          <w:szCs w:val="28"/>
        </w:rPr>
        <w:t xml:space="preserve">Карташевой Ольгой Александровной </w:t>
      </w:r>
      <w:r w:rsidRPr="00607D8F">
        <w:rPr>
          <w:rFonts w:ascii="Times New Roman" w:hAnsi="Times New Roman" w:cs="Times New Roman"/>
          <w:b/>
          <w:sz w:val="28"/>
          <w:szCs w:val="28"/>
        </w:rPr>
        <w:t xml:space="preserve">проведена </w:t>
      </w:r>
      <w:r w:rsidR="006D39B6" w:rsidRPr="006D39B6">
        <w:rPr>
          <w:rFonts w:ascii="Times New Roman" w:hAnsi="Times New Roman" w:cs="Times New Roman"/>
          <w:b/>
          <w:sz w:val="28"/>
          <w:szCs w:val="28"/>
        </w:rPr>
        <w:t>внешн</w:t>
      </w:r>
      <w:r w:rsidR="006D39B6">
        <w:rPr>
          <w:rFonts w:ascii="Times New Roman" w:hAnsi="Times New Roman" w:cs="Times New Roman"/>
          <w:b/>
          <w:sz w:val="28"/>
          <w:szCs w:val="28"/>
        </w:rPr>
        <w:t>яя</w:t>
      </w:r>
      <w:r w:rsidR="006D39B6" w:rsidRPr="006D39B6">
        <w:rPr>
          <w:rFonts w:ascii="Times New Roman" w:hAnsi="Times New Roman" w:cs="Times New Roman"/>
          <w:b/>
          <w:sz w:val="28"/>
          <w:szCs w:val="28"/>
        </w:rPr>
        <w:t xml:space="preserve"> проверки годового отчета об исполнении бюджета муниципального образования Тимашевский муниципальный район Краснодарского края за 2024 год</w:t>
      </w:r>
      <w:r w:rsidR="006D39B6">
        <w:rPr>
          <w:rFonts w:ascii="Times New Roman" w:hAnsi="Times New Roman" w:cs="Times New Roman"/>
          <w:b/>
          <w:sz w:val="28"/>
          <w:szCs w:val="28"/>
        </w:rPr>
        <w:t>.</w:t>
      </w:r>
    </w:p>
    <w:p w:rsidR="006D39B6" w:rsidRPr="006D39B6" w:rsidRDefault="006D39B6" w:rsidP="006D39B6">
      <w:pPr>
        <w:pBdr>
          <w:bottom w:val="single" w:sz="6" w:space="0" w:color="FFFFFF"/>
        </w:pBdr>
        <w:suppressAutoHyphens/>
        <w:spacing w:after="0" w:line="240" w:lineRule="auto"/>
        <w:ind w:firstLine="709"/>
        <w:jc w:val="both"/>
        <w:rPr>
          <w:rFonts w:ascii="Times New Roman" w:eastAsia="Times New Roman" w:hAnsi="Times New Roman" w:cs="Times New Roman"/>
          <w:sz w:val="28"/>
          <w:szCs w:val="28"/>
          <w:lang w:eastAsia="ru-RU"/>
        </w:rPr>
      </w:pPr>
      <w:r w:rsidRPr="006D39B6">
        <w:rPr>
          <w:rFonts w:ascii="Times New Roman" w:eastAsia="Times New Roman" w:hAnsi="Times New Roman" w:cs="Times New Roman"/>
          <w:b/>
          <w:sz w:val="28"/>
          <w:szCs w:val="28"/>
          <w:lang w:eastAsia="ru-RU"/>
        </w:rPr>
        <w:t>Внешняя проверка</w:t>
      </w:r>
      <w:r w:rsidRPr="006D39B6">
        <w:rPr>
          <w:rFonts w:ascii="Times New Roman" w:eastAsia="Times New Roman" w:hAnsi="Times New Roman" w:cs="Times New Roman"/>
          <w:sz w:val="28"/>
          <w:szCs w:val="28"/>
          <w:lang w:eastAsia="ru-RU"/>
        </w:rPr>
        <w:t xml:space="preserve"> бюджетной отчетности главных администраторов за 2024 год </w:t>
      </w:r>
      <w:r w:rsidRPr="006D39B6">
        <w:rPr>
          <w:rFonts w:ascii="Times New Roman" w:eastAsia="Times New Roman" w:hAnsi="Times New Roman" w:cs="Times New Roman"/>
          <w:b/>
          <w:sz w:val="28"/>
          <w:szCs w:val="28"/>
          <w:lang w:eastAsia="ru-RU"/>
        </w:rPr>
        <w:t>не выявила нарушений и недостатков, способных негативно повлиять на достоверность Годового отчета</w:t>
      </w:r>
      <w:r w:rsidRPr="006D39B6">
        <w:rPr>
          <w:rFonts w:ascii="Times New Roman" w:eastAsia="Times New Roman" w:hAnsi="Times New Roman" w:cs="Times New Roman"/>
          <w:sz w:val="28"/>
          <w:szCs w:val="28"/>
          <w:lang w:eastAsia="ru-RU"/>
        </w:rPr>
        <w:t>. Показатели доходов и расходов в проекте решения «Об утверждении годового отчета об исполнении бюджета муниципального образования Тимашевский район за 2024 год» соответствуют Годовому отчету.</w:t>
      </w:r>
    </w:p>
    <w:p w:rsidR="006D39B6" w:rsidRPr="006D39B6" w:rsidRDefault="006D39B6" w:rsidP="006D39B6">
      <w:pPr>
        <w:spacing w:after="0" w:line="240" w:lineRule="auto"/>
        <w:ind w:firstLine="539"/>
        <w:jc w:val="both"/>
        <w:rPr>
          <w:rFonts w:ascii="Times New Roman" w:eastAsia="Times New Roman" w:hAnsi="Times New Roman" w:cs="Times New Roman"/>
          <w:sz w:val="28"/>
          <w:szCs w:val="28"/>
          <w:lang w:eastAsia="ru-RU"/>
        </w:rPr>
      </w:pPr>
      <w:r w:rsidRPr="006D39B6">
        <w:rPr>
          <w:rFonts w:ascii="Times New Roman" w:eastAsia="Times New Roman" w:hAnsi="Times New Roman" w:cs="Times New Roman"/>
          <w:sz w:val="28"/>
          <w:szCs w:val="28"/>
          <w:lang w:eastAsia="ru-RU"/>
        </w:rPr>
        <w:t>В соответствии с требованиями статьи 19 Положения о бюджетном процессе одновременно с Отчетом представлен проект решения «Об утверждении годового отчета об исполнении бюджета муниципального образования Тимашевский район за 2024 год». Содержание годового отчета об исполнении бюджета и состав приложений к нему соответствуют требованиям статьи 264.6 БК РФ, статьи 19 Положения о бюджетном процессе.</w:t>
      </w:r>
    </w:p>
    <w:p w:rsidR="006D39B6" w:rsidRPr="006D39B6" w:rsidRDefault="006D39B6" w:rsidP="006D39B6">
      <w:pPr>
        <w:spacing w:after="0" w:line="240" w:lineRule="auto"/>
        <w:ind w:firstLine="539"/>
        <w:jc w:val="both"/>
        <w:rPr>
          <w:rFonts w:ascii="Times New Roman" w:eastAsia="Times New Roman" w:hAnsi="Times New Roman" w:cs="Times New Roman"/>
          <w:sz w:val="28"/>
          <w:szCs w:val="28"/>
          <w:lang w:eastAsia="ru-RU"/>
        </w:rPr>
      </w:pPr>
      <w:r w:rsidRPr="006D39B6">
        <w:rPr>
          <w:rFonts w:ascii="Times New Roman" w:eastAsia="Times New Roman" w:hAnsi="Times New Roman" w:cs="Times New Roman"/>
          <w:sz w:val="28"/>
          <w:szCs w:val="28"/>
          <w:lang w:eastAsia="ru-RU"/>
        </w:rPr>
        <w:t xml:space="preserve"> Статьей 1 проекта решения предлагаются к утверждению показатели исполнения бюджета муниципального образования Тимашевский район по его основным характеристикам: доходам в сумме 4 211 948,3 тыс. рублей, расходам – 4 134 526,5 тыс. рублей, с превышением доходов над расходами (профицит районного бюджета) в сумме 77421,8 тыс. рублей. </w:t>
      </w:r>
    </w:p>
    <w:p w:rsidR="006D39B6" w:rsidRPr="006D39B6" w:rsidRDefault="006D39B6" w:rsidP="006D39B6">
      <w:pPr>
        <w:spacing w:after="0" w:line="240" w:lineRule="auto"/>
        <w:ind w:firstLine="539"/>
        <w:jc w:val="both"/>
        <w:rPr>
          <w:rFonts w:ascii="Times New Roman" w:eastAsia="Times New Roman" w:hAnsi="Times New Roman" w:cs="Times New Roman"/>
          <w:sz w:val="28"/>
          <w:szCs w:val="28"/>
          <w:lang w:eastAsia="ru-RU"/>
        </w:rPr>
      </w:pPr>
      <w:r w:rsidRPr="006D39B6">
        <w:rPr>
          <w:rFonts w:ascii="Times New Roman" w:eastAsia="Times New Roman" w:hAnsi="Times New Roman" w:cs="Times New Roman"/>
          <w:sz w:val="28"/>
          <w:szCs w:val="28"/>
          <w:lang w:eastAsia="ru-RU"/>
        </w:rPr>
        <w:t>В 2024 году районный бюджет исполняли 11 главных распорядителей администраторов) средств районного бюджета и территориальные подразделения федеральных органов власти.</w:t>
      </w:r>
    </w:p>
    <w:p w:rsidR="006D39B6" w:rsidRPr="006D39B6" w:rsidRDefault="006D39B6" w:rsidP="006D39B6">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6D39B6">
        <w:rPr>
          <w:rFonts w:ascii="Times New Roman" w:eastAsia="Times New Roman" w:hAnsi="Times New Roman" w:cs="Times New Roman"/>
          <w:sz w:val="28"/>
          <w:szCs w:val="28"/>
          <w:lang w:eastAsia="ru-RU"/>
        </w:rPr>
        <w:t>Вместе с тем при исполнении районного бюджета за 2024 год, ведении бюджетного учета и составлении бюджетной отчетности 10 главными распорядителями (администраторами) средств районного бюджета допущены различные нарушения бюджетного (бухгалтерского) законодательства на общую сумму 2 867 460,7 тыс. рублей (73 факта), из которых устранено                  2 676 583,8 тыс. рублей (93,3%).</w:t>
      </w:r>
    </w:p>
    <w:p w:rsidR="006D39B6" w:rsidRPr="006D39B6" w:rsidRDefault="006D39B6" w:rsidP="006D39B6">
      <w:pPr>
        <w:spacing w:after="0" w:line="240" w:lineRule="auto"/>
        <w:ind w:firstLine="567"/>
        <w:jc w:val="both"/>
        <w:rPr>
          <w:rFonts w:ascii="Times New Roman" w:eastAsia="Times New Roman" w:hAnsi="Times New Roman" w:cs="Times New Roman"/>
          <w:sz w:val="28"/>
          <w:szCs w:val="28"/>
          <w:lang w:eastAsia="ru-RU"/>
        </w:rPr>
      </w:pPr>
      <w:r w:rsidRPr="006D39B6">
        <w:rPr>
          <w:rFonts w:ascii="Times New Roman" w:eastAsia="Times New Roman" w:hAnsi="Times New Roman" w:cs="Times New Roman"/>
          <w:sz w:val="28"/>
          <w:szCs w:val="28"/>
          <w:lang w:eastAsia="ru-RU"/>
        </w:rPr>
        <w:t xml:space="preserve">Общие объемы основных характеристик соответствуют годовому отчету об исполнении бюджета (ф. 0503117). Данные приложений к проекту и ф.0503117 соответствуют друг другу по содержанию как в части кодов бюджетной классификации, так и по объемам доходов, расходов и источников внутреннего финансирования дефицита бюджета в разрезе главных администраторов бюджетных средств. По показателям доходной, расходной частей и источникам внутреннего финансирования дефицита бюджета проект соответствует данным, полученным по результатам проверки Отчета. </w:t>
      </w:r>
    </w:p>
    <w:p w:rsidR="006D39B6" w:rsidRPr="006D39B6" w:rsidRDefault="006D39B6" w:rsidP="006D39B6">
      <w:pPr>
        <w:suppressAutoHyphens/>
        <w:spacing w:after="0" w:line="240" w:lineRule="auto"/>
        <w:ind w:firstLine="709"/>
        <w:jc w:val="both"/>
        <w:rPr>
          <w:rFonts w:ascii="Times New Roman" w:eastAsia="Times New Roman" w:hAnsi="Times New Roman" w:cs="Times New Roman"/>
          <w:sz w:val="28"/>
          <w:szCs w:val="20"/>
          <w:lang w:eastAsia="ru-RU"/>
        </w:rPr>
      </w:pPr>
      <w:r w:rsidRPr="006D39B6">
        <w:rPr>
          <w:rFonts w:ascii="Times New Roman" w:eastAsia="Times New Roman" w:hAnsi="Times New Roman" w:cs="Times New Roman"/>
          <w:sz w:val="28"/>
          <w:szCs w:val="28"/>
          <w:lang w:eastAsia="ru-RU"/>
        </w:rPr>
        <w:t xml:space="preserve">Однако, при формировании Отчета </w:t>
      </w:r>
      <w:r w:rsidRPr="006D39B6">
        <w:rPr>
          <w:rFonts w:ascii="Times New Roman" w:eastAsia="Calibri" w:hAnsi="Times New Roman" w:cs="Times New Roman"/>
          <w:sz w:val="28"/>
          <w:szCs w:val="28"/>
          <w:lang w:eastAsia="ru-RU"/>
        </w:rPr>
        <w:t>об исполнении бюджета </w:t>
      </w:r>
      <w:r w:rsidRPr="006D39B6">
        <w:rPr>
          <w:rFonts w:ascii="Times New Roman" w:eastAsia="Calibri" w:hAnsi="Times New Roman" w:cs="Times New Roman"/>
          <w:i/>
          <w:sz w:val="20"/>
          <w:szCs w:val="20"/>
          <w:lang w:eastAsia="ru-RU"/>
        </w:rPr>
        <w:t>(ф. 0503117)</w:t>
      </w:r>
      <w:r w:rsidRPr="006D39B6">
        <w:rPr>
          <w:rFonts w:ascii="Times New Roman" w:eastAsia="Calibri" w:hAnsi="Times New Roman" w:cs="Times New Roman"/>
          <w:sz w:val="28"/>
          <w:szCs w:val="28"/>
          <w:lang w:eastAsia="ru-RU"/>
        </w:rPr>
        <w:t xml:space="preserve"> </w:t>
      </w:r>
      <w:r w:rsidRPr="006D39B6">
        <w:rPr>
          <w:rFonts w:ascii="Times New Roman" w:eastAsia="Times New Roman" w:hAnsi="Times New Roman" w:cs="Times New Roman"/>
          <w:sz w:val="28"/>
          <w:szCs w:val="28"/>
          <w:lang w:eastAsia="ru-RU"/>
        </w:rPr>
        <w:t xml:space="preserve">по разделу «Расходы бюджета» не учтены требования абзаца седьмого пункта 134 Инструкции № 191н о формировании </w:t>
      </w:r>
      <w:r w:rsidRPr="006D39B6">
        <w:rPr>
          <w:rFonts w:ascii="Times New Roman" w:eastAsia="Calibri" w:hAnsi="Times New Roman" w:cs="Times New Roman"/>
          <w:sz w:val="28"/>
          <w:szCs w:val="28"/>
          <w:lang w:eastAsia="ru-RU"/>
        </w:rPr>
        <w:t xml:space="preserve">промежуточных итогов по </w:t>
      </w:r>
      <w:proofErr w:type="spellStart"/>
      <w:r w:rsidRPr="006D39B6">
        <w:rPr>
          <w:rFonts w:ascii="Times New Roman" w:eastAsia="Calibri" w:hAnsi="Times New Roman" w:cs="Times New Roman"/>
          <w:sz w:val="28"/>
          <w:szCs w:val="28"/>
          <w:lang w:eastAsia="ru-RU"/>
        </w:rPr>
        <w:t>группировочным</w:t>
      </w:r>
      <w:proofErr w:type="spellEnd"/>
      <w:r w:rsidRPr="006D39B6">
        <w:rPr>
          <w:rFonts w:ascii="Times New Roman" w:eastAsia="Calibri" w:hAnsi="Times New Roman" w:cs="Times New Roman"/>
          <w:sz w:val="28"/>
          <w:szCs w:val="28"/>
          <w:lang w:eastAsia="ru-RU"/>
        </w:rPr>
        <w:t xml:space="preserve"> кодам бюджетной классификации РФ в структуре утвержденных решением о бюджете бюджетных назначений, поскольку в Отчете об исполнении бюджета </w:t>
      </w:r>
      <w:r w:rsidRPr="006D39B6">
        <w:rPr>
          <w:rFonts w:ascii="Times New Roman" w:eastAsia="Calibri" w:hAnsi="Times New Roman" w:cs="Times New Roman"/>
          <w:i/>
          <w:sz w:val="20"/>
          <w:szCs w:val="20"/>
          <w:lang w:eastAsia="ru-RU"/>
        </w:rPr>
        <w:t>(ф. 0503117)</w:t>
      </w:r>
      <w:r w:rsidRPr="006D39B6">
        <w:rPr>
          <w:rFonts w:ascii="Times New Roman" w:eastAsia="Calibri" w:hAnsi="Times New Roman" w:cs="Times New Roman"/>
          <w:sz w:val="28"/>
          <w:szCs w:val="28"/>
          <w:lang w:eastAsia="ru-RU"/>
        </w:rPr>
        <w:t xml:space="preserve"> бюджетные назначения сгруппированы по разделам бюджетной классификации расходов, тогда как решением о бюджете в составе ведомственной структуры расходов </w:t>
      </w:r>
      <w:r w:rsidRPr="006D39B6">
        <w:rPr>
          <w:rFonts w:ascii="Times New Roman" w:eastAsia="Calibri" w:hAnsi="Times New Roman" w:cs="Times New Roman"/>
          <w:i/>
          <w:sz w:val="24"/>
          <w:szCs w:val="20"/>
          <w:lang w:eastAsia="ru-RU"/>
        </w:rPr>
        <w:t>(приложение 11 к решению о бюджете)</w:t>
      </w:r>
      <w:r w:rsidRPr="006D39B6">
        <w:rPr>
          <w:rFonts w:ascii="Times New Roman" w:eastAsia="Calibri" w:hAnsi="Times New Roman" w:cs="Times New Roman"/>
          <w:sz w:val="24"/>
          <w:szCs w:val="28"/>
          <w:lang w:eastAsia="ru-RU"/>
        </w:rPr>
        <w:t xml:space="preserve"> </w:t>
      </w:r>
      <w:r w:rsidRPr="006D39B6">
        <w:rPr>
          <w:rFonts w:ascii="Times New Roman" w:eastAsia="Calibri" w:hAnsi="Times New Roman" w:cs="Times New Roman"/>
          <w:sz w:val="28"/>
          <w:szCs w:val="28"/>
          <w:lang w:eastAsia="ru-RU"/>
        </w:rPr>
        <w:t>– по главным распорядителям бюджетных средств</w:t>
      </w:r>
      <w:r w:rsidRPr="006D39B6">
        <w:rPr>
          <w:rFonts w:ascii="Times New Roman" w:eastAsia="Times New Roman" w:hAnsi="Times New Roman" w:cs="Times New Roman"/>
          <w:sz w:val="28"/>
          <w:szCs w:val="20"/>
          <w:lang w:eastAsia="ru-RU"/>
        </w:rPr>
        <w:t>.</w:t>
      </w:r>
      <w:r w:rsidRPr="006D39B6">
        <w:rPr>
          <w:rFonts w:ascii="Times New Roman" w:eastAsia="Times New Roman" w:hAnsi="Times New Roman" w:cs="Times New Roman"/>
          <w:i/>
          <w:sz w:val="28"/>
          <w:szCs w:val="20"/>
          <w:lang w:eastAsia="ru-RU"/>
        </w:rPr>
        <w:t xml:space="preserve"> </w:t>
      </w:r>
      <w:r w:rsidRPr="006D39B6">
        <w:rPr>
          <w:rFonts w:ascii="Times New Roman" w:eastAsia="Times New Roman" w:hAnsi="Times New Roman" w:cs="Times New Roman"/>
          <w:sz w:val="28"/>
          <w:szCs w:val="20"/>
          <w:lang w:eastAsia="ru-RU"/>
        </w:rPr>
        <w:t>(1 факт).</w:t>
      </w:r>
    </w:p>
    <w:p w:rsidR="006D39B6" w:rsidRPr="006D39B6" w:rsidRDefault="006D39B6" w:rsidP="006D39B6">
      <w:pPr>
        <w:spacing w:after="0" w:line="240" w:lineRule="auto"/>
        <w:ind w:firstLine="567"/>
        <w:jc w:val="both"/>
        <w:rPr>
          <w:rFonts w:ascii="Times New Roman" w:eastAsia="Times New Roman" w:hAnsi="Times New Roman" w:cs="Times New Roman"/>
          <w:bCs/>
          <w:color w:val="000000"/>
          <w:sz w:val="28"/>
          <w:szCs w:val="28"/>
          <w:lang w:eastAsia="ru-RU"/>
        </w:rPr>
      </w:pPr>
      <w:r w:rsidRPr="006D39B6">
        <w:rPr>
          <w:rFonts w:ascii="Times New Roman" w:eastAsia="Times New Roman" w:hAnsi="Times New Roman" w:cs="Times New Roman"/>
          <w:bCs/>
          <w:color w:val="000000"/>
          <w:sz w:val="28"/>
          <w:szCs w:val="28"/>
          <w:lang w:eastAsia="ru-RU"/>
        </w:rPr>
        <w:t>Проверкой соблюдения требований порядка применения бюджетной классификации доходов (кодов доходов бюджета и их наименований) при формировании проекта  решения отчета об исполнении бюджета и его исполнении (форма 0503117) установлены несоответствия наименований, кодов налоговых доходов в приложении №1 к проекту решения об исполнении бюджета, что является нарушением приказа  Минфина России от 01.06.2023 № 80н «Об утверждении кодов (перечней кодов) бюджетной классификации Российской Федерации на 2024 год (на 2024 год и на плановый период 2025 и 2026 годов)» (далее –Приказ Минфина РФ № 80н) что не соответствует принципу единства бюджетной классификации бюджетной системы Российской Федерации, установленному статьей 29 БК РФ (5 фактов).</w:t>
      </w:r>
    </w:p>
    <w:p w:rsidR="006D39B6" w:rsidRPr="006D39B6" w:rsidRDefault="006D39B6" w:rsidP="006D39B6">
      <w:pPr>
        <w:spacing w:after="0" w:line="240" w:lineRule="auto"/>
        <w:ind w:firstLine="567"/>
        <w:jc w:val="both"/>
        <w:rPr>
          <w:rFonts w:ascii="Times New Roman" w:eastAsia="Times New Roman" w:hAnsi="Times New Roman" w:cs="Times New Roman"/>
          <w:bCs/>
          <w:color w:val="000000"/>
          <w:sz w:val="28"/>
          <w:szCs w:val="28"/>
          <w:lang w:eastAsia="ru-RU"/>
        </w:rPr>
      </w:pPr>
      <w:r w:rsidRPr="006D39B6">
        <w:rPr>
          <w:rFonts w:ascii="Times New Roman" w:eastAsia="Times New Roman" w:hAnsi="Times New Roman" w:cs="Times New Roman"/>
          <w:bCs/>
          <w:color w:val="000000"/>
          <w:sz w:val="28"/>
          <w:szCs w:val="28"/>
          <w:lang w:eastAsia="ru-RU"/>
        </w:rPr>
        <w:t>Выборочной проверкой установлена недостоверность отчетных форм о реализации двух муниципальных программ</w:t>
      </w:r>
      <w:r w:rsidRPr="006D39B6">
        <w:rPr>
          <w:rFonts w:ascii="Times New Roman" w:eastAsia="Times New Roman" w:hAnsi="Times New Roman" w:cs="Times New Roman"/>
          <w:bCs/>
          <w:color w:val="000000"/>
          <w:sz w:val="28"/>
          <w:szCs w:val="28"/>
          <w:vertAlign w:val="superscript"/>
          <w:lang w:eastAsia="ru-RU"/>
        </w:rPr>
        <w:footnoteReference w:id="1"/>
      </w:r>
      <w:r w:rsidRPr="006D39B6">
        <w:rPr>
          <w:rFonts w:ascii="Times New Roman" w:eastAsia="Times New Roman" w:hAnsi="Times New Roman" w:cs="Times New Roman"/>
          <w:bCs/>
          <w:color w:val="000000"/>
          <w:sz w:val="28"/>
          <w:szCs w:val="28"/>
          <w:lang w:eastAsia="ru-RU"/>
        </w:rPr>
        <w:t xml:space="preserve"> (оперативный (годовой) отчет о реализации муниципальной программы и оценка эффективности реализации муниципальной программы) приводящая к нарушению п.3 ст. 179 БК РФ и раздела 4 Порядка, утвержденного постановлением от 2 июля 2021 г. № 871 «Об утверждении порядка принятия решений о разработке формирования, реализации и оценки эффективности реализации муниципальных программ муниципального образования Тимашевский район».</w:t>
      </w:r>
    </w:p>
    <w:p w:rsidR="00667006" w:rsidRDefault="006D39B6" w:rsidP="006D39B6">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6D39B6">
        <w:rPr>
          <w:rFonts w:ascii="Times New Roman" w:eastAsia="Times New Roman" w:hAnsi="Times New Roman" w:cs="Times New Roman"/>
          <w:bCs/>
          <w:color w:val="000000"/>
          <w:sz w:val="28"/>
          <w:szCs w:val="28"/>
          <w:lang w:eastAsia="ru-RU"/>
        </w:rPr>
        <w:t xml:space="preserve">Проверкой установлено несоблюдение ГАБС </w:t>
      </w:r>
      <w:r w:rsidRPr="006D39B6">
        <w:rPr>
          <w:rFonts w:ascii="Times New Roman" w:eastAsia="Times New Roman" w:hAnsi="Times New Roman" w:cs="Times New Roman"/>
          <w:sz w:val="28"/>
          <w:szCs w:val="28"/>
          <w:lang w:eastAsia="ru-RU"/>
        </w:rPr>
        <w:t xml:space="preserve">п. 2 (1) «Об общих требованиях к методике прогнозирования поступлений доходов в бюджеты бюджетной системы Российской Федерации», утвержденных постановление Правительства РФ от 23.06.2016 № 574 (ред. от 28.11.2024), а именно: </w:t>
      </w:r>
      <w:r w:rsidRPr="006D39B6">
        <w:rPr>
          <w:rFonts w:ascii="Times New Roman" w:eastAsia="Calibri" w:hAnsi="Times New Roman" w:cs="Times New Roman"/>
          <w:color w:val="000000"/>
          <w:sz w:val="28"/>
          <w:szCs w:val="28"/>
          <w:lang w:eastAsia="ru-RU"/>
        </w:rPr>
        <w:t xml:space="preserve">несвоевременное уточнение прогнозных значений доходов с учетом их фактического поступления, </w:t>
      </w:r>
      <w:r w:rsidRPr="006D39B6">
        <w:rPr>
          <w:rFonts w:ascii="Times New Roman" w:eastAsia="Times New Roman" w:hAnsi="Times New Roman" w:cs="Times New Roman"/>
          <w:bCs/>
          <w:color w:val="000000"/>
          <w:sz w:val="28"/>
          <w:szCs w:val="28"/>
          <w:lang w:eastAsia="ru-RU"/>
        </w:rPr>
        <w:t>которое привело к нарушению принципа достоверности бюджета на общую сумму 24 228,8 тыс. рублей (4 факта), означающего в том числе реалистичность расчета доходов и расходов бюджета, установленного ст. 37 БК РФ, что снижает потенциальные сроки освоения расходов и ведет к образованию неиспользованных остатков средств бюджета.</w:t>
      </w:r>
      <w:bookmarkStart w:id="0" w:name="_GoBack"/>
      <w:bookmarkEnd w:id="0"/>
    </w:p>
    <w:sectPr w:rsidR="0066700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9B6" w:rsidRDefault="006D39B6" w:rsidP="006D39B6">
      <w:pPr>
        <w:spacing w:after="0" w:line="240" w:lineRule="auto"/>
      </w:pPr>
      <w:r>
        <w:separator/>
      </w:r>
    </w:p>
  </w:endnote>
  <w:endnote w:type="continuationSeparator" w:id="0">
    <w:p w:rsidR="006D39B6" w:rsidRDefault="006D39B6" w:rsidP="006D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9B6" w:rsidRDefault="006D39B6" w:rsidP="006D39B6">
      <w:pPr>
        <w:spacing w:after="0" w:line="240" w:lineRule="auto"/>
      </w:pPr>
      <w:r>
        <w:separator/>
      </w:r>
    </w:p>
  </w:footnote>
  <w:footnote w:type="continuationSeparator" w:id="0">
    <w:p w:rsidR="006D39B6" w:rsidRDefault="006D39B6" w:rsidP="006D39B6">
      <w:pPr>
        <w:spacing w:after="0" w:line="240" w:lineRule="auto"/>
      </w:pPr>
      <w:r>
        <w:continuationSeparator/>
      </w:r>
    </w:p>
  </w:footnote>
  <w:footnote w:id="1">
    <w:p w:rsidR="006D39B6" w:rsidRDefault="006D39B6" w:rsidP="006D39B6">
      <w:pPr>
        <w:pStyle w:val="a4"/>
      </w:pPr>
      <w:r>
        <w:rPr>
          <w:rStyle w:val="a3"/>
        </w:rPr>
        <w:footnoteRef/>
      </w:r>
      <w:r>
        <w:t xml:space="preserve"> Размещенных </w:t>
      </w:r>
      <w:hyperlink r:id="rId1" w:history="1">
        <w:r w:rsidRPr="00206D09">
          <w:rPr>
            <w:rStyle w:val="a6"/>
          </w:rPr>
          <w:t>https://тимрегион.рф/item/1755479</w:t>
        </w:r>
      </w:hyperlink>
    </w:p>
    <w:p w:rsidR="006D39B6" w:rsidRDefault="006D39B6" w:rsidP="006D39B6">
      <w:pPr>
        <w:pStyle w:val="a4"/>
      </w:pPr>
    </w:p>
    <w:p w:rsidR="006D39B6" w:rsidRDefault="006D39B6" w:rsidP="006D39B6">
      <w:pPr>
        <w:pStyle w:val="a4"/>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8F"/>
    <w:rsid w:val="00017071"/>
    <w:rsid w:val="00444C14"/>
    <w:rsid w:val="00607D8F"/>
    <w:rsid w:val="00664BC1"/>
    <w:rsid w:val="00667006"/>
    <w:rsid w:val="006D39B6"/>
    <w:rsid w:val="0081025D"/>
    <w:rsid w:val="00A20FD9"/>
    <w:rsid w:val="00B71D99"/>
    <w:rsid w:val="00BE7F4D"/>
    <w:rsid w:val="00D71E37"/>
    <w:rsid w:val="00E06A6B"/>
    <w:rsid w:val="00EF0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62927"/>
  <w15:chartTrackingRefBased/>
  <w15:docId w15:val="{76E2F984-55F2-42DA-9863-2DF642A0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6D39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D39B6"/>
    <w:rPr>
      <w:rFonts w:asciiTheme="majorHAnsi" w:eastAsiaTheme="majorEastAsia" w:hAnsiTheme="majorHAnsi" w:cstheme="majorBidi"/>
      <w:color w:val="2E74B5" w:themeColor="accent1" w:themeShade="BF"/>
      <w:sz w:val="26"/>
      <w:szCs w:val="26"/>
    </w:rPr>
  </w:style>
  <w:style w:type="character" w:styleId="a3">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link w:val="1"/>
    <w:uiPriority w:val="99"/>
    <w:qFormat/>
    <w:rsid w:val="006D39B6"/>
    <w:rPr>
      <w:vertAlign w:val="superscript"/>
    </w:rPr>
  </w:style>
  <w:style w:type="paragraph" w:styleId="a4">
    <w:name w:val="footnote text"/>
    <w:aliases w:val="Знак Знак,Текст сноски Знак Знак,Текст сноски НИВ,fn,Знак Знак Знак Знак1,Текст сноски Знак1 Знак,Текст сноски Знак Знак1 Знак,Знак Знак Знак1 Знак,Текст сноски Знак Знак1,Зна,F1,Текст сноски Знак1, Знак Знак Знак,f, Знак Знак Знак1 Знак"/>
    <w:basedOn w:val="a"/>
    <w:link w:val="a5"/>
    <w:uiPriority w:val="99"/>
    <w:qFormat/>
    <w:rsid w:val="006D39B6"/>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Знак Знак2,Знак Знак Знак1,Текст сноски Знак Знак Знак,Текст сноски НИВ Знак,fn Знак,Знак Знак Знак Знак1 Знак,Текст сноски Знак1 Знак Знак,Текст сноски Знак Знак1 Знак Знак,Знак Знак Знак1 Знак Знак,Зна Знак,f Знак,Знак Знак1,Знак Знак3"/>
    <w:basedOn w:val="a0"/>
    <w:link w:val="a4"/>
    <w:uiPriority w:val="99"/>
    <w:qFormat/>
    <w:rsid w:val="006D39B6"/>
    <w:rPr>
      <w:rFonts w:ascii="Times New Roman" w:eastAsia="Times New Roman" w:hAnsi="Times New Roman" w:cs="Times New Roman"/>
      <w:sz w:val="20"/>
      <w:szCs w:val="20"/>
      <w:lang w:eastAsia="ru-RU"/>
    </w:rPr>
  </w:style>
  <w:style w:type="character" w:styleId="a6">
    <w:name w:val="Hyperlink"/>
    <w:rsid w:val="006D39B6"/>
    <w:rPr>
      <w:color w:val="0563C1"/>
      <w:u w:val="single"/>
    </w:rPr>
  </w:style>
  <w:style w:type="paragraph" w:customStyle="1" w:styleId="1">
    <w:name w:val="Знак сноски1"/>
    <w:link w:val="a3"/>
    <w:uiPriority w:val="99"/>
    <w:rsid w:val="006D39B6"/>
    <w:pPr>
      <w:spacing w:after="0" w:line="360" w:lineRule="auto"/>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1090;&#1080;&#1084;&#1088;&#1077;&#1075;&#1080;&#1086;&#1085;.&#1088;&#1092;/item/17554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4515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КСП Евгения</dc:creator>
  <cp:keywords/>
  <dc:description/>
  <cp:lastModifiedBy>Ольга Карташева</cp:lastModifiedBy>
  <cp:revision>2</cp:revision>
  <dcterms:created xsi:type="dcterms:W3CDTF">2025-05-12T13:34:00Z</dcterms:created>
  <dcterms:modified xsi:type="dcterms:W3CDTF">2025-05-12T13:34:00Z</dcterms:modified>
</cp:coreProperties>
</file>