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5C" w:rsidRPr="001023C8" w:rsidRDefault="00DE0B5C" w:rsidP="00DE0B5C">
      <w:pPr>
        <w:pStyle w:val="2"/>
        <w:spacing w:line="320" w:lineRule="exact"/>
        <w:jc w:val="center"/>
        <w:rPr>
          <w:sz w:val="28"/>
          <w:szCs w:val="28"/>
        </w:rPr>
      </w:pPr>
      <w:r w:rsidRPr="001023C8">
        <w:rPr>
          <w:sz w:val="28"/>
          <w:szCs w:val="28"/>
        </w:rPr>
        <w:t>КОНТРОЛЬНО-СЧЕТНАЯ ПАЛАТА</w:t>
      </w:r>
    </w:p>
    <w:p w:rsidR="00DE0B5C" w:rsidRPr="001023C8" w:rsidRDefault="00DE0B5C" w:rsidP="00DE0B5C">
      <w:pPr>
        <w:jc w:val="center"/>
        <w:rPr>
          <w:b/>
          <w:sz w:val="28"/>
          <w:szCs w:val="28"/>
        </w:rPr>
      </w:pPr>
      <w:r w:rsidRPr="001023C8">
        <w:rPr>
          <w:b/>
          <w:sz w:val="28"/>
          <w:szCs w:val="28"/>
        </w:rPr>
        <w:t xml:space="preserve">  МУНИЦИПАЛЬНОГО ОБРАЗОВАНИЯ ТИМАШЕВСКИЙ РАЙОН</w:t>
      </w:r>
    </w:p>
    <w:p w:rsidR="00DE0B5C" w:rsidRPr="001023C8" w:rsidRDefault="00DE0B5C" w:rsidP="00DE0B5C">
      <w:pPr>
        <w:jc w:val="center"/>
        <w:rPr>
          <w:b/>
          <w:sz w:val="28"/>
          <w:szCs w:val="28"/>
        </w:rPr>
      </w:pPr>
    </w:p>
    <w:p w:rsidR="00DE0B5C" w:rsidRPr="001023C8" w:rsidRDefault="00DE0B5C" w:rsidP="00DE0B5C">
      <w:pPr>
        <w:jc w:val="center"/>
        <w:rPr>
          <w:b/>
          <w:sz w:val="28"/>
          <w:szCs w:val="28"/>
        </w:rPr>
      </w:pPr>
    </w:p>
    <w:p w:rsidR="00DE0B5C" w:rsidRPr="001023C8" w:rsidRDefault="00DE0B5C" w:rsidP="00DE0B5C">
      <w:pPr>
        <w:pStyle w:val="a5"/>
        <w:jc w:val="center"/>
        <w:rPr>
          <w:b/>
          <w:sz w:val="28"/>
          <w:szCs w:val="28"/>
        </w:rPr>
      </w:pPr>
      <w:r w:rsidRPr="001023C8">
        <w:rPr>
          <w:b/>
          <w:sz w:val="28"/>
          <w:szCs w:val="28"/>
        </w:rPr>
        <w:t>ОТЧЕТ</w:t>
      </w:r>
    </w:p>
    <w:p w:rsidR="008872EA" w:rsidRPr="001023C8" w:rsidRDefault="00DE0B5C" w:rsidP="008872EA">
      <w:pPr>
        <w:pStyle w:val="a6"/>
        <w:ind w:right="-1"/>
        <w:jc w:val="center"/>
        <w:rPr>
          <w:rFonts w:ascii="Times New Roman" w:hAnsi="Times New Roman"/>
          <w:b/>
          <w:sz w:val="28"/>
          <w:szCs w:val="28"/>
        </w:rPr>
      </w:pPr>
      <w:r w:rsidRPr="001023C8">
        <w:rPr>
          <w:rFonts w:ascii="Times New Roman" w:hAnsi="Times New Roman"/>
          <w:b/>
          <w:sz w:val="28"/>
          <w:szCs w:val="28"/>
        </w:rPr>
        <w:t>о результатах</w:t>
      </w:r>
      <w:r w:rsidR="008A3B10" w:rsidRPr="001023C8">
        <w:rPr>
          <w:rFonts w:ascii="Times New Roman" w:hAnsi="Times New Roman"/>
          <w:b/>
          <w:sz w:val="28"/>
          <w:szCs w:val="28"/>
        </w:rPr>
        <w:t xml:space="preserve"> </w:t>
      </w:r>
      <w:r w:rsidR="008872EA" w:rsidRPr="001023C8">
        <w:rPr>
          <w:rFonts w:ascii="Times New Roman" w:hAnsi="Times New Roman"/>
          <w:b/>
          <w:sz w:val="28"/>
          <w:szCs w:val="28"/>
        </w:rPr>
        <w:t xml:space="preserve">проверки достоверности, полноты и соответствия нормативным требованиям составления и представления бюджетной отчетности главных администраторов бюджетных средств </w:t>
      </w:r>
      <w:r w:rsidR="008F042D" w:rsidRPr="001023C8">
        <w:rPr>
          <w:rFonts w:ascii="Times New Roman" w:hAnsi="Times New Roman"/>
          <w:b/>
          <w:sz w:val="28"/>
          <w:szCs w:val="28"/>
        </w:rPr>
        <w:t>Поселкового</w:t>
      </w:r>
      <w:r w:rsidR="00AE2465" w:rsidRPr="001023C8">
        <w:rPr>
          <w:rFonts w:ascii="Times New Roman" w:hAnsi="Times New Roman"/>
          <w:b/>
          <w:sz w:val="28"/>
          <w:szCs w:val="28"/>
        </w:rPr>
        <w:t xml:space="preserve"> </w:t>
      </w:r>
      <w:r w:rsidR="00535984" w:rsidRPr="001023C8">
        <w:rPr>
          <w:rFonts w:ascii="Times New Roman" w:hAnsi="Times New Roman"/>
          <w:b/>
          <w:sz w:val="28"/>
          <w:szCs w:val="28"/>
        </w:rPr>
        <w:t>сельского</w:t>
      </w:r>
      <w:r w:rsidR="008872EA" w:rsidRPr="001023C8">
        <w:rPr>
          <w:rFonts w:ascii="Times New Roman" w:hAnsi="Times New Roman"/>
          <w:b/>
          <w:sz w:val="28"/>
          <w:szCs w:val="28"/>
        </w:rPr>
        <w:t xml:space="preserve"> поселения Тимашевского района за 20</w:t>
      </w:r>
      <w:r w:rsidR="008D198B" w:rsidRPr="001023C8">
        <w:rPr>
          <w:rFonts w:ascii="Times New Roman" w:hAnsi="Times New Roman"/>
          <w:b/>
          <w:sz w:val="28"/>
          <w:szCs w:val="28"/>
        </w:rPr>
        <w:t>2</w:t>
      </w:r>
      <w:r w:rsidR="008A3B10" w:rsidRPr="001023C8">
        <w:rPr>
          <w:rFonts w:ascii="Times New Roman" w:hAnsi="Times New Roman"/>
          <w:b/>
          <w:sz w:val="28"/>
          <w:szCs w:val="28"/>
        </w:rPr>
        <w:t>2</w:t>
      </w:r>
      <w:r w:rsidR="008872EA" w:rsidRPr="001023C8">
        <w:rPr>
          <w:rFonts w:ascii="Times New Roman" w:hAnsi="Times New Roman"/>
          <w:b/>
          <w:sz w:val="28"/>
          <w:szCs w:val="28"/>
        </w:rPr>
        <w:t xml:space="preserve"> год.</w:t>
      </w:r>
    </w:p>
    <w:p w:rsidR="001B77CF" w:rsidRPr="001023C8" w:rsidRDefault="001B77CF" w:rsidP="001B77CF">
      <w:pPr>
        <w:pStyle w:val="a6"/>
        <w:ind w:right="-1"/>
        <w:jc w:val="center"/>
        <w:rPr>
          <w:rFonts w:ascii="Times New Roman" w:hAnsi="Times New Roman"/>
          <w:b/>
          <w:sz w:val="28"/>
          <w:szCs w:val="28"/>
        </w:rPr>
      </w:pPr>
    </w:p>
    <w:p w:rsidR="007B43AE" w:rsidRPr="001023C8" w:rsidRDefault="007B43AE">
      <w:pPr>
        <w:rPr>
          <w:sz w:val="28"/>
          <w:szCs w:val="28"/>
        </w:rPr>
      </w:pPr>
    </w:p>
    <w:p w:rsidR="007B43AE" w:rsidRPr="001023C8" w:rsidRDefault="007B43AE" w:rsidP="007B43AE">
      <w:pPr>
        <w:ind w:firstLine="709"/>
        <w:jc w:val="both"/>
        <w:rPr>
          <w:sz w:val="28"/>
          <w:szCs w:val="28"/>
        </w:rPr>
      </w:pPr>
      <w:r w:rsidRPr="001023C8">
        <w:rPr>
          <w:b/>
          <w:sz w:val="28"/>
          <w:szCs w:val="28"/>
        </w:rPr>
        <w:t xml:space="preserve">Основание для проведения проверки: </w:t>
      </w:r>
      <w:r w:rsidRPr="001023C8">
        <w:rPr>
          <w:sz w:val="28"/>
          <w:szCs w:val="28"/>
        </w:rPr>
        <w:t>план работы контрольно-счетной палаты муниципального образования Тимашевский район на 20</w:t>
      </w:r>
      <w:r w:rsidR="008D198B" w:rsidRPr="001023C8">
        <w:rPr>
          <w:sz w:val="28"/>
          <w:szCs w:val="28"/>
        </w:rPr>
        <w:t>2</w:t>
      </w:r>
      <w:r w:rsidR="008A3B10" w:rsidRPr="001023C8">
        <w:rPr>
          <w:sz w:val="28"/>
          <w:szCs w:val="28"/>
        </w:rPr>
        <w:t>3</w:t>
      </w:r>
      <w:r w:rsidRPr="001023C8">
        <w:rPr>
          <w:sz w:val="28"/>
          <w:szCs w:val="28"/>
        </w:rPr>
        <w:t xml:space="preserve"> год, распоряжение председателя контрольно-счетной палаты муниципального образования Тимашевский район от </w:t>
      </w:r>
      <w:r w:rsidR="008D198B" w:rsidRPr="001023C8">
        <w:rPr>
          <w:sz w:val="28"/>
          <w:szCs w:val="28"/>
        </w:rPr>
        <w:t>31</w:t>
      </w:r>
      <w:r w:rsidRPr="001023C8">
        <w:rPr>
          <w:sz w:val="28"/>
          <w:szCs w:val="28"/>
        </w:rPr>
        <w:t>.</w:t>
      </w:r>
      <w:r w:rsidR="008D198B" w:rsidRPr="001023C8">
        <w:rPr>
          <w:sz w:val="28"/>
          <w:szCs w:val="28"/>
        </w:rPr>
        <w:t>03</w:t>
      </w:r>
      <w:r w:rsidRPr="001023C8">
        <w:rPr>
          <w:sz w:val="28"/>
          <w:szCs w:val="28"/>
        </w:rPr>
        <w:t>.20</w:t>
      </w:r>
      <w:r w:rsidR="005E58E2" w:rsidRPr="001023C8">
        <w:rPr>
          <w:sz w:val="28"/>
          <w:szCs w:val="28"/>
        </w:rPr>
        <w:t>2</w:t>
      </w:r>
      <w:r w:rsidR="008A3B10" w:rsidRPr="001023C8">
        <w:rPr>
          <w:sz w:val="28"/>
          <w:szCs w:val="28"/>
        </w:rPr>
        <w:t>3</w:t>
      </w:r>
      <w:r w:rsidRPr="001023C8">
        <w:rPr>
          <w:sz w:val="28"/>
          <w:szCs w:val="28"/>
        </w:rPr>
        <w:t xml:space="preserve"> № </w:t>
      </w:r>
      <w:r w:rsidR="008A3B10" w:rsidRPr="001023C8">
        <w:rPr>
          <w:sz w:val="28"/>
          <w:szCs w:val="28"/>
        </w:rPr>
        <w:t>91</w:t>
      </w:r>
      <w:r w:rsidRPr="001023C8">
        <w:rPr>
          <w:sz w:val="28"/>
          <w:szCs w:val="28"/>
        </w:rPr>
        <w:t>.</w:t>
      </w:r>
    </w:p>
    <w:p w:rsidR="007B43AE" w:rsidRPr="001023C8" w:rsidRDefault="007B43AE" w:rsidP="007B43AE">
      <w:pPr>
        <w:pStyle w:val="a5"/>
        <w:ind w:firstLine="709"/>
        <w:jc w:val="both"/>
        <w:rPr>
          <w:b/>
          <w:sz w:val="28"/>
          <w:szCs w:val="28"/>
        </w:rPr>
      </w:pPr>
      <w:r w:rsidRPr="001023C8">
        <w:rPr>
          <w:b/>
          <w:sz w:val="28"/>
          <w:szCs w:val="28"/>
        </w:rPr>
        <w:t>Цель проверки:</w:t>
      </w:r>
    </w:p>
    <w:p w:rsidR="007B43AE" w:rsidRPr="001023C8" w:rsidRDefault="007B43AE" w:rsidP="007B43AE">
      <w:pPr>
        <w:tabs>
          <w:tab w:val="left" w:pos="2265"/>
        </w:tabs>
        <w:ind w:firstLine="709"/>
        <w:jc w:val="both"/>
        <w:rPr>
          <w:sz w:val="28"/>
          <w:szCs w:val="28"/>
        </w:rPr>
      </w:pPr>
      <w:r w:rsidRPr="001023C8">
        <w:rPr>
          <w:sz w:val="28"/>
          <w:szCs w:val="28"/>
        </w:rPr>
        <w:t>установление полноты представленной бюджетной отчётности, её соответствие установленным требованиям;</w:t>
      </w:r>
    </w:p>
    <w:p w:rsidR="007B43AE" w:rsidRPr="001023C8" w:rsidRDefault="007B43AE" w:rsidP="007B43AE">
      <w:pPr>
        <w:tabs>
          <w:tab w:val="left" w:pos="2265"/>
        </w:tabs>
        <w:ind w:firstLine="709"/>
        <w:jc w:val="both"/>
        <w:rPr>
          <w:sz w:val="28"/>
          <w:szCs w:val="28"/>
        </w:rPr>
      </w:pPr>
      <w:r w:rsidRPr="001023C8">
        <w:rPr>
          <w:sz w:val="28"/>
          <w:szCs w:val="28"/>
        </w:rPr>
        <w:t>оценка достоверности показателей представленной отчётности.</w:t>
      </w:r>
    </w:p>
    <w:p w:rsidR="007B43AE" w:rsidRPr="001023C8" w:rsidRDefault="007B43AE" w:rsidP="00BF59A1">
      <w:pPr>
        <w:ind w:firstLine="709"/>
        <w:jc w:val="both"/>
        <w:rPr>
          <w:b/>
          <w:sz w:val="28"/>
          <w:szCs w:val="28"/>
        </w:rPr>
      </w:pPr>
      <w:r w:rsidRPr="001023C8">
        <w:rPr>
          <w:b/>
          <w:sz w:val="28"/>
          <w:szCs w:val="28"/>
        </w:rPr>
        <w:t>Объекты проверки:</w:t>
      </w:r>
    </w:p>
    <w:p w:rsidR="00535984" w:rsidRPr="001023C8" w:rsidRDefault="00535984" w:rsidP="00535984">
      <w:pPr>
        <w:ind w:firstLine="709"/>
        <w:jc w:val="both"/>
        <w:rPr>
          <w:sz w:val="28"/>
          <w:szCs w:val="28"/>
        </w:rPr>
      </w:pPr>
      <w:r w:rsidRPr="001023C8">
        <w:rPr>
          <w:sz w:val="28"/>
          <w:szCs w:val="28"/>
        </w:rPr>
        <w:t xml:space="preserve">Совет </w:t>
      </w:r>
      <w:r w:rsidR="004E1556" w:rsidRPr="001023C8">
        <w:rPr>
          <w:sz w:val="28"/>
          <w:szCs w:val="28"/>
        </w:rPr>
        <w:t xml:space="preserve">Поселкового </w:t>
      </w:r>
      <w:r w:rsidRPr="001023C8">
        <w:rPr>
          <w:sz w:val="28"/>
          <w:szCs w:val="28"/>
        </w:rPr>
        <w:t>сельского поселения Тимашевского района</w:t>
      </w:r>
      <w:r w:rsidR="00B07093" w:rsidRPr="001023C8">
        <w:rPr>
          <w:sz w:val="28"/>
          <w:szCs w:val="28"/>
        </w:rPr>
        <w:t>;</w:t>
      </w:r>
    </w:p>
    <w:p w:rsidR="00535984" w:rsidRPr="001023C8" w:rsidRDefault="00535984" w:rsidP="00BF59A1">
      <w:pPr>
        <w:ind w:firstLine="709"/>
        <w:jc w:val="both"/>
        <w:rPr>
          <w:sz w:val="28"/>
          <w:szCs w:val="28"/>
        </w:rPr>
      </w:pPr>
      <w:r w:rsidRPr="001023C8">
        <w:rPr>
          <w:sz w:val="28"/>
          <w:szCs w:val="28"/>
        </w:rPr>
        <w:t xml:space="preserve">Администрация </w:t>
      </w:r>
      <w:r w:rsidR="004E1556" w:rsidRPr="001023C8">
        <w:rPr>
          <w:sz w:val="28"/>
          <w:szCs w:val="28"/>
        </w:rPr>
        <w:t>Поселкового</w:t>
      </w:r>
      <w:r w:rsidRPr="001023C8">
        <w:rPr>
          <w:sz w:val="28"/>
          <w:szCs w:val="28"/>
        </w:rPr>
        <w:t xml:space="preserve"> сельского поселения Тимашевского района</w:t>
      </w:r>
      <w:r w:rsidR="006E08E7" w:rsidRPr="001023C8">
        <w:rPr>
          <w:sz w:val="28"/>
          <w:szCs w:val="28"/>
        </w:rPr>
        <w:t>.</w:t>
      </w:r>
    </w:p>
    <w:p w:rsidR="007B43AE" w:rsidRPr="001023C8" w:rsidRDefault="007B43AE" w:rsidP="007B43AE">
      <w:pPr>
        <w:ind w:firstLine="709"/>
        <w:jc w:val="both"/>
        <w:rPr>
          <w:b/>
          <w:sz w:val="28"/>
          <w:szCs w:val="28"/>
        </w:rPr>
      </w:pPr>
      <w:r w:rsidRPr="001023C8">
        <w:rPr>
          <w:b/>
          <w:sz w:val="28"/>
          <w:szCs w:val="28"/>
        </w:rPr>
        <w:t>Предмет проверки:</w:t>
      </w:r>
    </w:p>
    <w:p w:rsidR="007101F3" w:rsidRPr="001023C8" w:rsidRDefault="007101F3" w:rsidP="007101F3">
      <w:pPr>
        <w:ind w:firstLine="709"/>
        <w:jc w:val="both"/>
        <w:rPr>
          <w:sz w:val="28"/>
          <w:szCs w:val="28"/>
        </w:rPr>
      </w:pPr>
      <w:r w:rsidRPr="001023C8">
        <w:rPr>
          <w:sz w:val="28"/>
          <w:szCs w:val="28"/>
        </w:rPr>
        <w:t xml:space="preserve">годовая бюджетная отчетность, состав и формы которой утверждены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№191н (далее- Инструкция 191н); </w:t>
      </w:r>
    </w:p>
    <w:p w:rsidR="007101F3" w:rsidRPr="001023C8" w:rsidRDefault="007101F3" w:rsidP="007101F3">
      <w:pPr>
        <w:ind w:firstLine="709"/>
        <w:jc w:val="both"/>
        <w:rPr>
          <w:sz w:val="28"/>
          <w:szCs w:val="28"/>
        </w:rPr>
      </w:pPr>
      <w:r w:rsidRPr="001023C8">
        <w:rPr>
          <w:sz w:val="28"/>
          <w:szCs w:val="28"/>
        </w:rPr>
        <w:t>другие отчётные документы,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по финансам, бюджету и контролю Краснодарского края;</w:t>
      </w:r>
    </w:p>
    <w:p w:rsidR="007101F3" w:rsidRPr="001023C8" w:rsidRDefault="007101F3" w:rsidP="007101F3">
      <w:pPr>
        <w:ind w:firstLine="709"/>
        <w:jc w:val="both"/>
        <w:rPr>
          <w:sz w:val="28"/>
          <w:szCs w:val="28"/>
        </w:rPr>
      </w:pPr>
      <w:r w:rsidRPr="001023C8">
        <w:rPr>
          <w:sz w:val="28"/>
          <w:szCs w:val="28"/>
        </w:rPr>
        <w:lastRenderedPageBreak/>
        <w:t>прочие документы по вопросам деятельности главных администраторов средств местного бюджета и (или) относящиеся к предмету контрольного мероприятия, полученные по соответствующим запросам Контрольно-счётной палаты муниципального образования Тимашевский район.</w:t>
      </w:r>
    </w:p>
    <w:p w:rsidR="007B43AE" w:rsidRPr="001023C8" w:rsidRDefault="007101F3" w:rsidP="007B43AE">
      <w:pPr>
        <w:autoSpaceDE w:val="0"/>
        <w:autoSpaceDN w:val="0"/>
        <w:adjustRightInd w:val="0"/>
        <w:ind w:firstLine="709"/>
        <w:jc w:val="both"/>
        <w:rPr>
          <w:b/>
          <w:sz w:val="28"/>
          <w:szCs w:val="28"/>
        </w:rPr>
      </w:pPr>
      <w:r w:rsidRPr="001023C8">
        <w:rPr>
          <w:b/>
          <w:sz w:val="28"/>
          <w:szCs w:val="28"/>
        </w:rPr>
        <w:t xml:space="preserve">Сроки </w:t>
      </w:r>
      <w:r w:rsidR="007B43AE" w:rsidRPr="001023C8">
        <w:rPr>
          <w:b/>
          <w:sz w:val="28"/>
          <w:szCs w:val="28"/>
        </w:rPr>
        <w:t xml:space="preserve">проведения </w:t>
      </w:r>
      <w:r w:rsidRPr="001023C8">
        <w:rPr>
          <w:b/>
          <w:sz w:val="28"/>
          <w:szCs w:val="28"/>
        </w:rPr>
        <w:t>контрольного мероприятия:</w:t>
      </w:r>
      <w:r w:rsidR="007B43AE" w:rsidRPr="001023C8">
        <w:rPr>
          <w:sz w:val="28"/>
          <w:szCs w:val="28"/>
        </w:rPr>
        <w:t xml:space="preserve"> с </w:t>
      </w:r>
      <w:r w:rsidR="005E58E2" w:rsidRPr="001023C8">
        <w:rPr>
          <w:sz w:val="28"/>
          <w:szCs w:val="28"/>
        </w:rPr>
        <w:t>31</w:t>
      </w:r>
      <w:r w:rsidR="007B43AE" w:rsidRPr="001023C8">
        <w:rPr>
          <w:sz w:val="28"/>
          <w:szCs w:val="28"/>
        </w:rPr>
        <w:t>.03.20</w:t>
      </w:r>
      <w:r w:rsidR="005E58E2" w:rsidRPr="001023C8">
        <w:rPr>
          <w:sz w:val="28"/>
          <w:szCs w:val="28"/>
        </w:rPr>
        <w:t>2</w:t>
      </w:r>
      <w:r w:rsidR="008A3B10" w:rsidRPr="001023C8">
        <w:rPr>
          <w:sz w:val="28"/>
          <w:szCs w:val="28"/>
        </w:rPr>
        <w:t>3</w:t>
      </w:r>
      <w:r w:rsidR="007B43AE" w:rsidRPr="001023C8">
        <w:rPr>
          <w:sz w:val="28"/>
          <w:szCs w:val="28"/>
        </w:rPr>
        <w:t xml:space="preserve"> по </w:t>
      </w:r>
      <w:r w:rsidRPr="001023C8">
        <w:rPr>
          <w:sz w:val="28"/>
          <w:szCs w:val="28"/>
        </w:rPr>
        <w:t>2</w:t>
      </w:r>
      <w:r w:rsidR="008A3B10" w:rsidRPr="001023C8">
        <w:rPr>
          <w:sz w:val="28"/>
          <w:szCs w:val="28"/>
        </w:rPr>
        <w:t>8</w:t>
      </w:r>
      <w:r w:rsidR="007B43AE" w:rsidRPr="001023C8">
        <w:rPr>
          <w:sz w:val="28"/>
          <w:szCs w:val="28"/>
        </w:rPr>
        <w:t>.0</w:t>
      </w:r>
      <w:r w:rsidR="00213561" w:rsidRPr="001023C8">
        <w:rPr>
          <w:sz w:val="28"/>
          <w:szCs w:val="28"/>
        </w:rPr>
        <w:t>4</w:t>
      </w:r>
      <w:r w:rsidR="007B43AE" w:rsidRPr="001023C8">
        <w:rPr>
          <w:sz w:val="28"/>
          <w:szCs w:val="28"/>
        </w:rPr>
        <w:t>.20</w:t>
      </w:r>
      <w:r w:rsidR="005E58E2" w:rsidRPr="001023C8">
        <w:rPr>
          <w:sz w:val="28"/>
          <w:szCs w:val="28"/>
        </w:rPr>
        <w:t>2</w:t>
      </w:r>
      <w:r w:rsidR="008A3B10" w:rsidRPr="001023C8">
        <w:rPr>
          <w:sz w:val="28"/>
          <w:szCs w:val="28"/>
        </w:rPr>
        <w:t>3</w:t>
      </w:r>
      <w:r w:rsidR="007B43AE" w:rsidRPr="001023C8">
        <w:rPr>
          <w:sz w:val="28"/>
          <w:szCs w:val="28"/>
        </w:rPr>
        <w:t>.</w:t>
      </w:r>
    </w:p>
    <w:p w:rsidR="001D0E12" w:rsidRPr="001023C8" w:rsidRDefault="001D0E12" w:rsidP="007101F3">
      <w:pPr>
        <w:ind w:firstLine="709"/>
        <w:rPr>
          <w:b/>
          <w:sz w:val="28"/>
          <w:szCs w:val="28"/>
        </w:rPr>
      </w:pPr>
      <w:r w:rsidRPr="001023C8">
        <w:rPr>
          <w:b/>
          <w:sz w:val="28"/>
          <w:szCs w:val="28"/>
        </w:rPr>
        <w:t>Результаты проверки:</w:t>
      </w:r>
    </w:p>
    <w:p w:rsidR="00053022" w:rsidRPr="001023C8" w:rsidRDefault="00053022" w:rsidP="00053022">
      <w:pPr>
        <w:autoSpaceDE w:val="0"/>
        <w:autoSpaceDN w:val="0"/>
        <w:adjustRightInd w:val="0"/>
        <w:ind w:firstLine="709"/>
        <w:jc w:val="both"/>
        <w:rPr>
          <w:sz w:val="28"/>
          <w:szCs w:val="28"/>
        </w:rPr>
      </w:pPr>
      <w:r w:rsidRPr="001023C8">
        <w:rPr>
          <w:sz w:val="28"/>
          <w:szCs w:val="28"/>
        </w:rPr>
        <w:t>В целом работа главных администраторов средств бюджета Поселкового сельского поселения в 202</w:t>
      </w:r>
      <w:r w:rsidR="008A3B10" w:rsidRPr="001023C8">
        <w:rPr>
          <w:sz w:val="28"/>
          <w:szCs w:val="28"/>
        </w:rPr>
        <w:t>2</w:t>
      </w:r>
      <w:r w:rsidRPr="001023C8">
        <w:rPr>
          <w:sz w:val="28"/>
          <w:szCs w:val="28"/>
        </w:rPr>
        <w:t xml:space="preserve"> году по бюджетному учету и составлению бюджетной отчетности велась в соответствии с требованиями бюджетного законодательства, на основе приказов, положений, инструкций и рекомендаций Министерства финансов Российской Федерации и министерства по финансам, бюджету и контролю Краснодарского края.</w:t>
      </w:r>
    </w:p>
    <w:p w:rsidR="00053022" w:rsidRPr="001023C8" w:rsidRDefault="00053022" w:rsidP="00053022">
      <w:pPr>
        <w:autoSpaceDE w:val="0"/>
        <w:autoSpaceDN w:val="0"/>
        <w:adjustRightInd w:val="0"/>
        <w:ind w:firstLine="709"/>
        <w:jc w:val="both"/>
        <w:rPr>
          <w:sz w:val="28"/>
          <w:szCs w:val="28"/>
        </w:rPr>
      </w:pPr>
      <w:r w:rsidRPr="001023C8">
        <w:rPr>
          <w:sz w:val="28"/>
          <w:szCs w:val="28"/>
        </w:rPr>
        <w:t>Показатели годовой бюджетной отчетности об исполнении бюджета соответствуют данным Отдела № 45 Управления Федерального казначейства по Краснодарскому краю и отражают операции главных администраторов средств бюджета поселения и результаты финансовой деятельности за 202</w:t>
      </w:r>
      <w:r w:rsidR="008A3B10" w:rsidRPr="001023C8">
        <w:rPr>
          <w:sz w:val="28"/>
          <w:szCs w:val="28"/>
        </w:rPr>
        <w:t>2</w:t>
      </w:r>
      <w:r w:rsidRPr="001023C8">
        <w:rPr>
          <w:sz w:val="28"/>
          <w:szCs w:val="28"/>
        </w:rPr>
        <w:t xml:space="preserve"> год.</w:t>
      </w:r>
    </w:p>
    <w:p w:rsidR="00053022" w:rsidRPr="001023C8" w:rsidRDefault="00053022" w:rsidP="00053022">
      <w:pPr>
        <w:pStyle w:val="1"/>
        <w:spacing w:before="0" w:after="0"/>
        <w:ind w:firstLine="709"/>
        <w:jc w:val="both"/>
        <w:rPr>
          <w:rFonts w:ascii="Times New Roman" w:hAnsi="Times New Roman"/>
          <w:b w:val="0"/>
          <w:color w:val="auto"/>
          <w:sz w:val="28"/>
          <w:szCs w:val="28"/>
        </w:rPr>
      </w:pPr>
      <w:r w:rsidRPr="001023C8">
        <w:rPr>
          <w:rFonts w:ascii="Times New Roman" w:hAnsi="Times New Roman"/>
          <w:b w:val="0"/>
          <w:color w:val="auto"/>
          <w:sz w:val="28"/>
          <w:szCs w:val="28"/>
        </w:rPr>
        <w:t>В годовой бюджетной отчетности главных администраторов средств бюджета поселения соблюдены контрольные соотношения между показателями различных форм годовой бюджетной отчетности, утвержденные Приказом Минфина РФ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8A3B10" w:rsidRPr="001023C8" w:rsidRDefault="008A3B10" w:rsidP="008A3B10">
      <w:pPr>
        <w:ind w:firstLine="708"/>
        <w:jc w:val="both"/>
      </w:pPr>
      <w:r w:rsidRPr="001023C8">
        <w:rPr>
          <w:sz w:val="28"/>
          <w:szCs w:val="28"/>
        </w:rPr>
        <w:t>В то же время внешней проверкой годовой бюджетной отчетности проверенных главных администраторов средств местного бюджета установлены отдельные нарушения и замечания:</w:t>
      </w:r>
    </w:p>
    <w:p w:rsidR="008A3B10" w:rsidRPr="001023C8" w:rsidRDefault="008A3B10" w:rsidP="008A3B10">
      <w:pPr>
        <w:ind w:firstLine="708"/>
        <w:jc w:val="both"/>
        <w:rPr>
          <w:sz w:val="28"/>
          <w:szCs w:val="28"/>
        </w:rPr>
      </w:pPr>
      <w:r w:rsidRPr="001023C8">
        <w:rPr>
          <w:sz w:val="28"/>
          <w:szCs w:val="28"/>
        </w:rPr>
        <w:t>В нарушение статьи 13 Федерального закона № 402-ФЗ, статьи 264.1, 264.2 Бюджетного кодекса РФ, в сводной бюджетной росписи бюджета поселения на 2022 год с формами годовой бюджетной отчетности (ф. 0503127, ф. 0503128) главных администраторов средств местного бюджета на предмет полноты отражения утвержденных бюджетных назначений установить достоверность отчетности не представляется возможным, ввиду отсутствия предоставленных форм бухгалтерской (финансовой) отчетности по ГРБС 991 (Совет Поселкового сельского поселения). Данная отчетность представлена в ходе проведения проверки 06.04.2023.</w:t>
      </w:r>
    </w:p>
    <w:p w:rsidR="008A3B10" w:rsidRPr="001023C8" w:rsidRDefault="008A3B10" w:rsidP="008A3B10">
      <w:pPr>
        <w:ind w:firstLine="708"/>
        <w:jc w:val="both"/>
        <w:rPr>
          <w:sz w:val="28"/>
          <w:szCs w:val="28"/>
        </w:rPr>
      </w:pPr>
      <w:r w:rsidRPr="001023C8">
        <w:rPr>
          <w:sz w:val="28"/>
          <w:szCs w:val="28"/>
        </w:rPr>
        <w:t xml:space="preserve">Таким образом, в действиях должностных лиц администрации поселения, усматриваются признаки состава административного правонарушения, предусмотренного </w:t>
      </w:r>
      <w:r w:rsidRPr="001023C8">
        <w:rPr>
          <w:b/>
          <w:sz w:val="28"/>
          <w:szCs w:val="28"/>
        </w:rPr>
        <w:t>частью 1 статьи 15.15.6 КоАП РФ</w:t>
      </w:r>
      <w:r w:rsidRPr="001023C8">
        <w:rPr>
          <w:sz w:val="28"/>
          <w:szCs w:val="28"/>
        </w:rPr>
        <w:t xml:space="preserve">. </w:t>
      </w:r>
    </w:p>
    <w:p w:rsidR="00176718" w:rsidRPr="001023C8" w:rsidRDefault="00176718" w:rsidP="008A3B10">
      <w:pPr>
        <w:ind w:firstLine="708"/>
        <w:jc w:val="both"/>
        <w:rPr>
          <w:sz w:val="28"/>
          <w:szCs w:val="28"/>
        </w:rPr>
      </w:pPr>
      <w:r w:rsidRPr="001023C8">
        <w:rPr>
          <w:bCs/>
          <w:color w:val="000000"/>
          <w:sz w:val="28"/>
          <w:szCs w:val="28"/>
        </w:rPr>
        <w:t>Выборочной проверкой соблюдения требований порядка применения бюджетной классификации доходов (кодов доходов бюджета поселения и их наименований) при формировании решений о бюджете поселения и его исполнении установлены несоответствия кодов налоговых, неналоговых доходов, безвозмездных поступлений в приложениях к указанным документам, что является нарушением приказа Минфина России от 08.06.2021 № 75н «</w:t>
      </w:r>
      <w:r w:rsidRPr="001023C8">
        <w:rPr>
          <w:color w:val="22272F"/>
          <w:sz w:val="28"/>
          <w:szCs w:val="28"/>
          <w:shd w:val="clear" w:color="auto" w:fill="FFFFFF"/>
        </w:rPr>
        <w:t xml:space="preserve">Об </w:t>
      </w:r>
      <w:r w:rsidRPr="001023C8">
        <w:rPr>
          <w:rStyle w:val="afd"/>
          <w:i w:val="0"/>
          <w:iCs w:val="0"/>
          <w:color w:val="22272F"/>
          <w:sz w:val="28"/>
          <w:szCs w:val="28"/>
        </w:rPr>
        <w:lastRenderedPageBreak/>
        <w:t xml:space="preserve">утверждении кодов </w:t>
      </w:r>
      <w:r w:rsidRPr="001023C8">
        <w:rPr>
          <w:color w:val="22272F"/>
          <w:sz w:val="28"/>
          <w:szCs w:val="28"/>
        </w:rPr>
        <w:t xml:space="preserve">(перечней кодов) </w:t>
      </w:r>
      <w:r w:rsidRPr="001023C8">
        <w:rPr>
          <w:rStyle w:val="afd"/>
          <w:i w:val="0"/>
          <w:iCs w:val="0"/>
          <w:color w:val="22272F"/>
          <w:sz w:val="28"/>
          <w:szCs w:val="28"/>
        </w:rPr>
        <w:t xml:space="preserve">бюджетной классификации </w:t>
      </w:r>
      <w:r w:rsidRPr="001023C8">
        <w:rPr>
          <w:color w:val="22272F"/>
          <w:sz w:val="28"/>
          <w:szCs w:val="28"/>
        </w:rPr>
        <w:t xml:space="preserve">Российской Федерации на </w:t>
      </w:r>
      <w:r w:rsidRPr="001023C8">
        <w:rPr>
          <w:rStyle w:val="afd"/>
          <w:i w:val="0"/>
          <w:iCs w:val="0"/>
          <w:color w:val="22272F"/>
          <w:sz w:val="28"/>
          <w:szCs w:val="28"/>
        </w:rPr>
        <w:t xml:space="preserve">2022 </w:t>
      </w:r>
      <w:r w:rsidRPr="001023C8">
        <w:rPr>
          <w:color w:val="22272F"/>
          <w:sz w:val="28"/>
          <w:szCs w:val="28"/>
          <w:shd w:val="clear" w:color="auto" w:fill="FFFFFF"/>
        </w:rPr>
        <w:t>год (на 2022 год и на плановый период 2023 и 2024 годов)</w:t>
      </w:r>
      <w:r w:rsidRPr="001023C8">
        <w:rPr>
          <w:bCs/>
          <w:color w:val="000000"/>
          <w:sz w:val="28"/>
          <w:szCs w:val="28"/>
        </w:rPr>
        <w:t xml:space="preserve">» </w:t>
      </w:r>
      <w:r w:rsidRPr="001023C8">
        <w:rPr>
          <w:bCs/>
          <w:sz w:val="28"/>
          <w:szCs w:val="28"/>
        </w:rPr>
        <w:t>и не соответствует принципу единства бюджетной классификации бюджетной системы Российской Федерации, установленному статьей 29 БК РФ.</w:t>
      </w:r>
    </w:p>
    <w:p w:rsidR="008A3B10" w:rsidRPr="001023C8" w:rsidRDefault="008A3B10" w:rsidP="008A3B10">
      <w:pPr>
        <w:ind w:firstLine="708"/>
        <w:jc w:val="both"/>
      </w:pPr>
      <w:r w:rsidRPr="001023C8">
        <w:rPr>
          <w:color w:val="000000"/>
          <w:sz w:val="28"/>
          <w:szCs w:val="28"/>
        </w:rPr>
        <w:t>В нарушение части 1 статьи 9, части 1 статьи 13 Федерального закона № 402-ФЗ, абзаца седьмого пункта 28 Инструкции № 157н, абзацев восьмого-десятого пункта 16 Инструкции № 162н</w:t>
      </w:r>
      <w:r w:rsidRPr="001023C8">
        <w:rPr>
          <w:sz w:val="28"/>
          <w:szCs w:val="28"/>
        </w:rPr>
        <w:t>, нарушение положения о порядке управления и распоряжения имуществом, находящимся в муниципальной собственности администрации Поселкового сельского поселения Тимашевский район, утвержденного решением Совета Поселкового сельского поселения Тимашевский район от 09.09.2020 № 41 установлены факты недостоверных сведениях, отраженных в разделе I реестра муниципального имущества земельных участков с неактуальными сведениями о кадастровой стоимости на общую сумму 291</w:t>
      </w:r>
      <w:r w:rsidR="00453297" w:rsidRPr="001023C8">
        <w:rPr>
          <w:sz w:val="28"/>
          <w:szCs w:val="28"/>
        </w:rPr>
        <w:t xml:space="preserve"> </w:t>
      </w:r>
      <w:r w:rsidRPr="001023C8">
        <w:rPr>
          <w:sz w:val="28"/>
          <w:szCs w:val="28"/>
        </w:rPr>
        <w:t>974,77</w:t>
      </w:r>
      <w:r w:rsidRPr="001023C8">
        <w:t xml:space="preserve"> </w:t>
      </w:r>
      <w:r w:rsidRPr="001023C8">
        <w:rPr>
          <w:sz w:val="28"/>
          <w:szCs w:val="28"/>
        </w:rPr>
        <w:t xml:space="preserve"> рублей  (28 фактов)</w:t>
      </w:r>
    </w:p>
    <w:p w:rsidR="008A3B10" w:rsidRPr="001023C8" w:rsidRDefault="008A3B10" w:rsidP="008A3B10">
      <w:pPr>
        <w:ind w:firstLine="567"/>
        <w:jc w:val="both"/>
      </w:pPr>
      <w:r w:rsidRPr="001023C8">
        <w:rPr>
          <w:sz w:val="28"/>
          <w:szCs w:val="28"/>
        </w:rPr>
        <w:t xml:space="preserve">В действиях должностного лица МКУ «ФРУ», на которое возложено ведение реестра муниципального имущества администрации Поселкового сельского поселения Тимашевского района усматриваются признаки состава административного правонарушения, предусмотренного </w:t>
      </w:r>
      <w:r w:rsidRPr="001023C8">
        <w:rPr>
          <w:b/>
          <w:sz w:val="28"/>
          <w:szCs w:val="28"/>
        </w:rPr>
        <w:t>частью 2 статьи 15.15.6 КоАП РФ.</w:t>
      </w:r>
    </w:p>
    <w:p w:rsidR="008A3B10" w:rsidRPr="001023C8" w:rsidRDefault="008A3B10" w:rsidP="008A3B10">
      <w:pPr>
        <w:ind w:firstLine="567"/>
        <w:jc w:val="both"/>
        <w:rPr>
          <w:bCs/>
          <w:sz w:val="28"/>
          <w:szCs w:val="28"/>
        </w:rPr>
      </w:pPr>
      <w:r w:rsidRPr="001023C8">
        <w:rPr>
          <w:bCs/>
          <w:sz w:val="28"/>
          <w:szCs w:val="28"/>
        </w:rPr>
        <w:t>В рамках анализа исполнения обязательств о предоставлении межбюджетных трансфертов Поселкового сельского поселения выявлено нарушение пункта 3.5 Соглашения, а именно не перечисление части объема межбюджетных трансфертов (платежное поручение № 698767 от 14.02.2022 на сумму 50 000,00 рублей).</w:t>
      </w:r>
    </w:p>
    <w:p w:rsidR="008A3B10" w:rsidRDefault="008A3B10" w:rsidP="008A3B10">
      <w:pPr>
        <w:ind w:firstLine="567"/>
        <w:jc w:val="both"/>
        <w:rPr>
          <w:b/>
          <w:sz w:val="28"/>
          <w:szCs w:val="28"/>
        </w:rPr>
      </w:pPr>
      <w:r w:rsidRPr="001023C8">
        <w:rPr>
          <w:color w:val="000000"/>
          <w:sz w:val="28"/>
          <w:szCs w:val="28"/>
        </w:rPr>
        <w:t xml:space="preserve">Таким образом, в действиях Совета </w:t>
      </w:r>
      <w:r w:rsidRPr="001023C8">
        <w:rPr>
          <w:bCs/>
          <w:sz w:val="28"/>
          <w:szCs w:val="28"/>
        </w:rPr>
        <w:t xml:space="preserve">Поселкового </w:t>
      </w:r>
      <w:r w:rsidRPr="001023C8">
        <w:rPr>
          <w:color w:val="000000"/>
          <w:sz w:val="28"/>
          <w:szCs w:val="28"/>
        </w:rPr>
        <w:t xml:space="preserve">сельского поселения Тимашевского района, усматриваются признаки состава административного </w:t>
      </w:r>
      <w:r w:rsidRPr="001023C8">
        <w:rPr>
          <w:sz w:val="28"/>
          <w:szCs w:val="28"/>
        </w:rPr>
        <w:t xml:space="preserve">правонарушения, предусмотренного </w:t>
      </w:r>
      <w:r w:rsidRPr="001023C8">
        <w:rPr>
          <w:b/>
          <w:sz w:val="28"/>
          <w:szCs w:val="28"/>
        </w:rPr>
        <w:t>частью 1 статьи 15.15.3 КоАП РФ</w:t>
      </w:r>
      <w:r w:rsidR="00845345">
        <w:rPr>
          <w:b/>
          <w:sz w:val="28"/>
          <w:szCs w:val="28"/>
        </w:rPr>
        <w:t>.</w:t>
      </w:r>
    </w:p>
    <w:p w:rsidR="00845345" w:rsidRDefault="00845345" w:rsidP="00845345">
      <w:pPr>
        <w:widowControl w:val="0"/>
        <w:suppressAutoHyphens/>
        <w:ind w:firstLine="709"/>
        <w:jc w:val="both"/>
        <w:rPr>
          <w:color w:val="22272F"/>
          <w:sz w:val="28"/>
          <w:szCs w:val="28"/>
          <w:shd w:val="clear" w:color="auto" w:fill="FFFFFF"/>
        </w:rPr>
      </w:pPr>
      <w:r>
        <w:rPr>
          <w:sz w:val="28"/>
          <w:szCs w:val="28"/>
        </w:rPr>
        <w:t>Глава Поселкового сельского поселения и начальник МКУ «ФРУ» Поселкового сельского поселения ознакомлены с актами поверки, составленных по результатам контрольного мероприятия, в установленный срок. Замечания и возражения со стороны объектов контроля отсутствуют.</w:t>
      </w:r>
    </w:p>
    <w:p w:rsidR="00176718" w:rsidRPr="001023C8" w:rsidRDefault="00845345" w:rsidP="008A3B10">
      <w:pPr>
        <w:ind w:firstLine="567"/>
        <w:jc w:val="both"/>
        <w:rPr>
          <w:b/>
          <w:sz w:val="28"/>
          <w:szCs w:val="28"/>
        </w:rPr>
      </w:pPr>
      <w:r>
        <w:rPr>
          <w:sz w:val="28"/>
          <w:szCs w:val="28"/>
        </w:rPr>
        <w:t>По результатам контрольного мероприятия контрольно-счетной палатой вынесено представление об устранении нарушений с перечнем предложений по устранению выявленных замечаний и нарушений и пресечению причин им способствовавших.</w:t>
      </w:r>
    </w:p>
    <w:p w:rsidR="00176718" w:rsidRPr="001023C8" w:rsidRDefault="00845345" w:rsidP="00845345">
      <w:pPr>
        <w:ind w:firstLine="567"/>
        <w:jc w:val="both"/>
        <w:rPr>
          <w:sz w:val="28"/>
          <w:szCs w:val="28"/>
        </w:rPr>
      </w:pPr>
      <w:r>
        <w:rPr>
          <w:sz w:val="28"/>
          <w:szCs w:val="28"/>
        </w:rPr>
        <w:t>П</w:t>
      </w:r>
      <w:r w:rsidR="00176718" w:rsidRPr="001023C8">
        <w:rPr>
          <w:sz w:val="28"/>
          <w:szCs w:val="28"/>
        </w:rPr>
        <w:t xml:space="preserve">ринять меры по устранению выявленных нарушений, исправить ошибки, выявленные проверкой в формах бюджетной отчетности </w:t>
      </w:r>
    </w:p>
    <w:p w:rsidR="00176718" w:rsidRPr="001023C8" w:rsidRDefault="00176718" w:rsidP="00176718">
      <w:pPr>
        <w:ind w:firstLine="567"/>
        <w:jc w:val="both"/>
        <w:rPr>
          <w:sz w:val="28"/>
          <w:szCs w:val="28"/>
        </w:rPr>
      </w:pPr>
      <w:r w:rsidRPr="001023C8">
        <w:rPr>
          <w:sz w:val="28"/>
          <w:szCs w:val="28"/>
        </w:rPr>
        <w:t>Привести в соответствие с требованиями единой методологии бюджетного учета и бюджетной отчетности организацию и ведение бюджетного учета земельных участков.</w:t>
      </w:r>
    </w:p>
    <w:p w:rsidR="00176718" w:rsidRPr="001023C8" w:rsidRDefault="00176718" w:rsidP="00176718">
      <w:pPr>
        <w:suppressAutoHyphens/>
        <w:ind w:firstLine="567"/>
        <w:jc w:val="both"/>
        <w:rPr>
          <w:color w:val="000000"/>
          <w:sz w:val="28"/>
          <w:szCs w:val="28"/>
        </w:rPr>
      </w:pPr>
      <w:r w:rsidRPr="001023C8">
        <w:rPr>
          <w:sz w:val="28"/>
          <w:szCs w:val="28"/>
        </w:rPr>
        <w:t xml:space="preserve">Обеспечить исправление в бюджетном учете ошибок прошлых лет в соответствии с требованиями единой методологии бюджетного учета и бюджетной отчетности с предоставлением субъектом консолидированной отчетности Сведений об изменении остатков валюты баланса (ф. 0503173), в которых отразить информацию об исправлении субъектом учета ошибок прошлых лет с кодом причины изменения вступительного баланса «07» –исправление ошибок прошлых лет по результатам внешнего (внутреннего) государственного (муниципального) контроля </w:t>
      </w:r>
      <w:r w:rsidRPr="001023C8">
        <w:rPr>
          <w:color w:val="000000"/>
          <w:sz w:val="28"/>
          <w:szCs w:val="28"/>
        </w:rPr>
        <w:t>по счетам аналитического учета 108.55 «Непроизведенные активы, составляющие казну», 103.10 «Непроизводственные активы».</w:t>
      </w:r>
    </w:p>
    <w:p w:rsidR="00176718" w:rsidRPr="001023C8" w:rsidRDefault="00176718" w:rsidP="00176718">
      <w:pPr>
        <w:suppressAutoHyphens/>
        <w:ind w:firstLine="567"/>
        <w:jc w:val="both"/>
        <w:rPr>
          <w:sz w:val="28"/>
          <w:szCs w:val="28"/>
        </w:rPr>
      </w:pPr>
      <w:r w:rsidRPr="001023C8">
        <w:rPr>
          <w:sz w:val="28"/>
          <w:szCs w:val="28"/>
        </w:rPr>
        <w:t xml:space="preserve">Учетную политику от </w:t>
      </w:r>
      <w:r w:rsidR="00380877" w:rsidRPr="001023C8">
        <w:rPr>
          <w:sz w:val="28"/>
          <w:szCs w:val="28"/>
        </w:rPr>
        <w:t>30</w:t>
      </w:r>
      <w:r w:rsidRPr="001023C8">
        <w:rPr>
          <w:sz w:val="28"/>
          <w:szCs w:val="28"/>
        </w:rPr>
        <w:t>.12.202</w:t>
      </w:r>
      <w:r w:rsidR="00380877" w:rsidRPr="001023C8">
        <w:rPr>
          <w:sz w:val="28"/>
          <w:szCs w:val="28"/>
        </w:rPr>
        <w:t>1</w:t>
      </w:r>
      <w:r w:rsidRPr="001023C8">
        <w:rPr>
          <w:sz w:val="28"/>
          <w:szCs w:val="28"/>
        </w:rPr>
        <w:t xml:space="preserve"> № </w:t>
      </w:r>
      <w:r w:rsidR="00380877" w:rsidRPr="001023C8">
        <w:rPr>
          <w:sz w:val="28"/>
          <w:szCs w:val="28"/>
        </w:rPr>
        <w:t>39-п</w:t>
      </w:r>
      <w:r w:rsidRPr="001023C8">
        <w:rPr>
          <w:sz w:val="28"/>
          <w:szCs w:val="28"/>
        </w:rPr>
        <w:t xml:space="preserve"> в части Приложение № 2 «Рабочий план счетов» п</w:t>
      </w:r>
      <w:r w:rsidRPr="001023C8">
        <w:rPr>
          <w:color w:val="000000"/>
          <w:sz w:val="28"/>
          <w:szCs w:val="28"/>
        </w:rPr>
        <w:t>ривести в соответствие с действующим законодательством (</w:t>
      </w:r>
      <w:r w:rsidRPr="001023C8">
        <w:rPr>
          <w:sz w:val="28"/>
          <w:szCs w:val="28"/>
        </w:rPr>
        <w:t>ст. 8, 9 Закона</w:t>
      </w:r>
      <w:r w:rsidRPr="001023C8">
        <w:rPr>
          <w:rFonts w:eastAsia="Calibri"/>
          <w:sz w:val="28"/>
          <w:szCs w:val="28"/>
          <w:lang w:eastAsia="en-US"/>
        </w:rPr>
        <w:t xml:space="preserve"> № 402-ФЗ, Приказ</w:t>
      </w:r>
      <w:r w:rsidRPr="001023C8">
        <w:rPr>
          <w:sz w:val="28"/>
          <w:szCs w:val="28"/>
        </w:rPr>
        <w:t> 181н и п. 66 Инструкции 157н).</w:t>
      </w:r>
    </w:p>
    <w:p w:rsidR="00176718" w:rsidRPr="001023C8" w:rsidRDefault="00176718" w:rsidP="00176718">
      <w:pPr>
        <w:suppressAutoHyphens/>
        <w:ind w:firstLine="567"/>
        <w:jc w:val="both"/>
        <w:rPr>
          <w:sz w:val="28"/>
          <w:szCs w:val="28"/>
        </w:rPr>
      </w:pPr>
      <w:r w:rsidRPr="001023C8">
        <w:rPr>
          <w:bCs/>
          <w:sz w:val="28"/>
          <w:szCs w:val="28"/>
        </w:rPr>
        <w:t>Реестр муниципальной собственность привести в соответствие с требованиями порядка формирования, учета и ведения Приказа № 424</w:t>
      </w:r>
    </w:p>
    <w:p w:rsidR="00F14C1B" w:rsidRPr="001023C8" w:rsidRDefault="00176718" w:rsidP="00286F42">
      <w:pPr>
        <w:ind w:firstLine="567"/>
        <w:jc w:val="both"/>
        <w:rPr>
          <w:sz w:val="28"/>
          <w:szCs w:val="28"/>
        </w:rPr>
      </w:pPr>
      <w:r w:rsidRPr="001023C8">
        <w:rPr>
          <w:sz w:val="28"/>
          <w:szCs w:val="28"/>
        </w:rPr>
        <w:t>Принять меры к должностным лицам действия или бездействия, которых повлекли искажение бюджетной отчетности.</w:t>
      </w:r>
      <w:bookmarkStart w:id="0" w:name="_GoBack"/>
      <w:bookmarkEnd w:id="0"/>
    </w:p>
    <w:sectPr w:rsidR="00F14C1B" w:rsidRPr="001023C8" w:rsidSect="00AD329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882"/>
    <w:multiLevelType w:val="multilevel"/>
    <w:tmpl w:val="7C20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10CBD"/>
    <w:multiLevelType w:val="multilevel"/>
    <w:tmpl w:val="D3B08A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E66AEA"/>
    <w:multiLevelType w:val="hybridMultilevel"/>
    <w:tmpl w:val="A75A94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036C07"/>
    <w:multiLevelType w:val="hybridMultilevel"/>
    <w:tmpl w:val="1BD6478C"/>
    <w:lvl w:ilvl="0" w:tplc="EF88CEA4">
      <w:start w:val="1"/>
      <w:numFmt w:val="decimal"/>
      <w:lvlText w:val="%1."/>
      <w:lvlJc w:val="left"/>
      <w:pPr>
        <w:tabs>
          <w:tab w:val="num" w:pos="2440"/>
        </w:tabs>
        <w:ind w:left="2440" w:hanging="100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03277C9"/>
    <w:multiLevelType w:val="hybridMultilevel"/>
    <w:tmpl w:val="7338ACA0"/>
    <w:lvl w:ilvl="0" w:tplc="B42C963E">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0874985"/>
    <w:multiLevelType w:val="hybridMultilevel"/>
    <w:tmpl w:val="DBFC0682"/>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5FE671B"/>
    <w:multiLevelType w:val="hybridMultilevel"/>
    <w:tmpl w:val="A5CC06E8"/>
    <w:lvl w:ilvl="0" w:tplc="994EE9FE">
      <w:start w:val="1"/>
      <w:numFmt w:val="decimal"/>
      <w:lvlText w:val="%1."/>
      <w:lvlJc w:val="left"/>
      <w:pPr>
        <w:tabs>
          <w:tab w:val="num" w:pos="0"/>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3E33F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7B732A"/>
    <w:multiLevelType w:val="hybridMultilevel"/>
    <w:tmpl w:val="B6F68D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1F44C05"/>
    <w:multiLevelType w:val="hybridMultilevel"/>
    <w:tmpl w:val="491C1F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EB63020"/>
    <w:multiLevelType w:val="hybridMultilevel"/>
    <w:tmpl w:val="BEE4DA42"/>
    <w:lvl w:ilvl="0" w:tplc="A40270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FF45EE4"/>
    <w:multiLevelType w:val="hybridMultilevel"/>
    <w:tmpl w:val="1D48A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302F3598"/>
    <w:multiLevelType w:val="hybridMultilevel"/>
    <w:tmpl w:val="5864510C"/>
    <w:lvl w:ilvl="0" w:tplc="CF080EF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1501326"/>
    <w:multiLevelType w:val="hybridMultilevel"/>
    <w:tmpl w:val="BD7A8D5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3D4A070C"/>
    <w:multiLevelType w:val="hybridMultilevel"/>
    <w:tmpl w:val="BD04D4C2"/>
    <w:lvl w:ilvl="0" w:tplc="5D1433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4A1F3B2C"/>
    <w:multiLevelType w:val="hybridMultilevel"/>
    <w:tmpl w:val="1326035A"/>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BF54171"/>
    <w:multiLevelType w:val="hybridMultilevel"/>
    <w:tmpl w:val="A9826E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593476F8"/>
    <w:multiLevelType w:val="multilevel"/>
    <w:tmpl w:val="72A49264"/>
    <w:lvl w:ilvl="0">
      <w:start w:val="1"/>
      <w:numFmt w:val="decimal"/>
      <w:lvlText w:val="%1."/>
      <w:lvlJc w:val="left"/>
      <w:pPr>
        <w:ind w:left="450" w:hanging="450"/>
      </w:pPr>
      <w:rPr>
        <w:rFonts w:hint="default"/>
      </w:rPr>
    </w:lvl>
    <w:lvl w:ilvl="1">
      <w:start w:val="1"/>
      <w:numFmt w:val="decimal"/>
      <w:lvlText w:val="%1.%2."/>
      <w:lvlJc w:val="left"/>
      <w:pPr>
        <w:ind w:left="1428" w:hanging="720"/>
      </w:pPr>
      <w:rPr>
        <w:rFonts w:ascii="Times New Roman" w:hAnsi="Times New Roman" w:cs="Times New Roman"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5DC1739B"/>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2954517"/>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A936C8"/>
    <w:multiLevelType w:val="hybridMultilevel"/>
    <w:tmpl w:val="9A2AC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3FE5046"/>
    <w:multiLevelType w:val="hybridMultilevel"/>
    <w:tmpl w:val="AB44FE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66D004C7"/>
    <w:multiLevelType w:val="hybridMultilevel"/>
    <w:tmpl w:val="8BBC10C2"/>
    <w:lvl w:ilvl="0" w:tplc="EF88CEA4">
      <w:start w:val="1"/>
      <w:numFmt w:val="decimal"/>
      <w:lvlText w:val="%1."/>
      <w:lvlJc w:val="left"/>
      <w:pPr>
        <w:tabs>
          <w:tab w:val="num" w:pos="1720"/>
        </w:tabs>
        <w:ind w:left="1720" w:hanging="100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672135AF"/>
    <w:multiLevelType w:val="multilevel"/>
    <w:tmpl w:val="59349A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647FF3"/>
    <w:multiLevelType w:val="hybridMultilevel"/>
    <w:tmpl w:val="B52A98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6CB774D5"/>
    <w:multiLevelType w:val="hybridMultilevel"/>
    <w:tmpl w:val="E132F1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6E9A5573"/>
    <w:multiLevelType w:val="hybridMultilevel"/>
    <w:tmpl w:val="CB18C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F042B2C"/>
    <w:multiLevelType w:val="multilevel"/>
    <w:tmpl w:val="C49ABC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683515"/>
    <w:multiLevelType w:val="hybridMultilevel"/>
    <w:tmpl w:val="29482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D8391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265CF0"/>
    <w:multiLevelType w:val="hybridMultilevel"/>
    <w:tmpl w:val="9F6C8104"/>
    <w:lvl w:ilvl="0" w:tplc="80C0DE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A4F7E8F"/>
    <w:multiLevelType w:val="hybridMultilevel"/>
    <w:tmpl w:val="2856F8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4"/>
  </w:num>
  <w:num w:numId="2">
    <w:abstractNumId w:val="11"/>
  </w:num>
  <w:num w:numId="3">
    <w:abstractNumId w:val="15"/>
  </w:num>
  <w:num w:numId="4">
    <w:abstractNumId w:val="3"/>
  </w:num>
  <w:num w:numId="5">
    <w:abstractNumId w:val="5"/>
  </w:num>
  <w:num w:numId="6">
    <w:abstractNumId w:val="13"/>
  </w:num>
  <w:num w:numId="7">
    <w:abstractNumId w:val="31"/>
  </w:num>
  <w:num w:numId="8">
    <w:abstractNumId w:val="24"/>
  </w:num>
  <w:num w:numId="9">
    <w:abstractNumId w:val="16"/>
  </w:num>
  <w:num w:numId="10">
    <w:abstractNumId w:val="25"/>
  </w:num>
  <w:num w:numId="11">
    <w:abstractNumId w:val="21"/>
  </w:num>
  <w:num w:numId="12">
    <w:abstractNumId w:val="2"/>
  </w:num>
  <w:num w:numId="13">
    <w:abstractNumId w:val="26"/>
  </w:num>
  <w:num w:numId="14">
    <w:abstractNumId w:val="20"/>
  </w:num>
  <w:num w:numId="15">
    <w:abstractNumId w:val="8"/>
  </w:num>
  <w:num w:numId="16">
    <w:abstractNumId w:val="9"/>
  </w:num>
  <w:num w:numId="17">
    <w:abstractNumId w:val="22"/>
  </w:num>
  <w:num w:numId="18">
    <w:abstractNumId w:val="28"/>
  </w:num>
  <w:num w:numId="19">
    <w:abstractNumId w:val="14"/>
  </w:num>
  <w:num w:numId="20">
    <w:abstractNumId w:val="6"/>
  </w:num>
  <w:num w:numId="21">
    <w:abstractNumId w:val="30"/>
  </w:num>
  <w:num w:numId="22">
    <w:abstractNumId w:val="0"/>
  </w:num>
  <w:num w:numId="23">
    <w:abstractNumId w:val="23"/>
  </w:num>
  <w:num w:numId="24">
    <w:abstractNumId w:val="19"/>
  </w:num>
  <w:num w:numId="25">
    <w:abstractNumId w:val="7"/>
  </w:num>
  <w:num w:numId="26">
    <w:abstractNumId w:val="29"/>
  </w:num>
  <w:num w:numId="27">
    <w:abstractNumId w:val="18"/>
  </w:num>
  <w:num w:numId="28">
    <w:abstractNumId w:val="27"/>
  </w:num>
  <w:num w:numId="29">
    <w:abstractNumId w:val="1"/>
  </w:num>
  <w:num w:numId="30">
    <w:abstractNumId w:val="10"/>
  </w:num>
  <w:num w:numId="31">
    <w:abstractNumId w:val="1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5C"/>
    <w:rsid w:val="00013EF8"/>
    <w:rsid w:val="000408D9"/>
    <w:rsid w:val="00053022"/>
    <w:rsid w:val="0006458B"/>
    <w:rsid w:val="00081317"/>
    <w:rsid w:val="000A17DD"/>
    <w:rsid w:val="000A50F6"/>
    <w:rsid w:val="000E21FC"/>
    <w:rsid w:val="001023C8"/>
    <w:rsid w:val="00176718"/>
    <w:rsid w:val="001B77CF"/>
    <w:rsid w:val="001D0E12"/>
    <w:rsid w:val="001E35C9"/>
    <w:rsid w:val="00213561"/>
    <w:rsid w:val="00217267"/>
    <w:rsid w:val="00223364"/>
    <w:rsid w:val="00286F42"/>
    <w:rsid w:val="002A511E"/>
    <w:rsid w:val="002A5A7F"/>
    <w:rsid w:val="002E2EDB"/>
    <w:rsid w:val="002E486E"/>
    <w:rsid w:val="00317693"/>
    <w:rsid w:val="00336660"/>
    <w:rsid w:val="003628BA"/>
    <w:rsid w:val="00380877"/>
    <w:rsid w:val="003B36C4"/>
    <w:rsid w:val="003D075C"/>
    <w:rsid w:val="004037C6"/>
    <w:rsid w:val="00431FF5"/>
    <w:rsid w:val="00453297"/>
    <w:rsid w:val="00453FEE"/>
    <w:rsid w:val="00467C65"/>
    <w:rsid w:val="00471688"/>
    <w:rsid w:val="004E1556"/>
    <w:rsid w:val="004F327D"/>
    <w:rsid w:val="005207BB"/>
    <w:rsid w:val="00522FB7"/>
    <w:rsid w:val="00535984"/>
    <w:rsid w:val="00586A80"/>
    <w:rsid w:val="00596131"/>
    <w:rsid w:val="005A685B"/>
    <w:rsid w:val="005B55E8"/>
    <w:rsid w:val="005D00C1"/>
    <w:rsid w:val="005D2126"/>
    <w:rsid w:val="005E58E2"/>
    <w:rsid w:val="005F74EA"/>
    <w:rsid w:val="006156FC"/>
    <w:rsid w:val="00616949"/>
    <w:rsid w:val="006223C5"/>
    <w:rsid w:val="00674EFA"/>
    <w:rsid w:val="0069719C"/>
    <w:rsid w:val="006C02E1"/>
    <w:rsid w:val="006C2B93"/>
    <w:rsid w:val="006C7286"/>
    <w:rsid w:val="006E08E7"/>
    <w:rsid w:val="007101F3"/>
    <w:rsid w:val="00711D9D"/>
    <w:rsid w:val="0075519D"/>
    <w:rsid w:val="00765E47"/>
    <w:rsid w:val="00791A4C"/>
    <w:rsid w:val="007A7E8A"/>
    <w:rsid w:val="007B43AE"/>
    <w:rsid w:val="00804E1F"/>
    <w:rsid w:val="00805DE3"/>
    <w:rsid w:val="00845345"/>
    <w:rsid w:val="008872EA"/>
    <w:rsid w:val="008A3B10"/>
    <w:rsid w:val="008B1ABA"/>
    <w:rsid w:val="008D198B"/>
    <w:rsid w:val="008F042D"/>
    <w:rsid w:val="0096216A"/>
    <w:rsid w:val="00987A33"/>
    <w:rsid w:val="00A34543"/>
    <w:rsid w:val="00A47C0A"/>
    <w:rsid w:val="00A935EF"/>
    <w:rsid w:val="00AA39A1"/>
    <w:rsid w:val="00AD329F"/>
    <w:rsid w:val="00AE2465"/>
    <w:rsid w:val="00B06B70"/>
    <w:rsid w:val="00B07093"/>
    <w:rsid w:val="00B17973"/>
    <w:rsid w:val="00B42327"/>
    <w:rsid w:val="00B425AA"/>
    <w:rsid w:val="00B4366B"/>
    <w:rsid w:val="00B44408"/>
    <w:rsid w:val="00BD217D"/>
    <w:rsid w:val="00BF59A1"/>
    <w:rsid w:val="00C671E4"/>
    <w:rsid w:val="00C74786"/>
    <w:rsid w:val="00C85320"/>
    <w:rsid w:val="00CE47E9"/>
    <w:rsid w:val="00D42991"/>
    <w:rsid w:val="00D71385"/>
    <w:rsid w:val="00DA1AFF"/>
    <w:rsid w:val="00DE0B5C"/>
    <w:rsid w:val="00E17594"/>
    <w:rsid w:val="00E179AC"/>
    <w:rsid w:val="00E70B58"/>
    <w:rsid w:val="00E74F6A"/>
    <w:rsid w:val="00E7573A"/>
    <w:rsid w:val="00EA17FC"/>
    <w:rsid w:val="00ED6645"/>
    <w:rsid w:val="00F0685A"/>
    <w:rsid w:val="00F07949"/>
    <w:rsid w:val="00F14C1B"/>
    <w:rsid w:val="00F32EE3"/>
    <w:rsid w:val="00F34871"/>
    <w:rsid w:val="00F75276"/>
    <w:rsid w:val="00FB1E4B"/>
    <w:rsid w:val="00FB5B5A"/>
    <w:rsid w:val="00FC2B77"/>
    <w:rsid w:val="00FC33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2B77C-6235-4E18-8011-518747C7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D0E12"/>
    <w:pPr>
      <w:autoSpaceDE w:val="0"/>
      <w:autoSpaceDN w:val="0"/>
      <w:adjustRightInd w:val="0"/>
      <w:spacing w:before="108" w:after="108"/>
      <w:jc w:val="center"/>
      <w:outlineLvl w:val="0"/>
    </w:pPr>
    <w:rPr>
      <w:rFonts w:ascii="Arial" w:hAnsi="Arial" w:cs="Arial"/>
      <w:b/>
      <w:bCs/>
      <w:color w:val="000080"/>
      <w:sz w:val="24"/>
      <w:szCs w:val="24"/>
    </w:rPr>
  </w:style>
  <w:style w:type="paragraph" w:styleId="2">
    <w:name w:val="heading 2"/>
    <w:basedOn w:val="a"/>
    <w:next w:val="a"/>
    <w:link w:val="20"/>
    <w:semiHidden/>
    <w:unhideWhenUsed/>
    <w:qFormat/>
    <w:rsid w:val="00DE0B5C"/>
    <w:pPr>
      <w:keepNext/>
      <w:outlineLvl w:val="1"/>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E0B5C"/>
    <w:rPr>
      <w:rFonts w:ascii="Times New Roman" w:eastAsia="Times New Roman" w:hAnsi="Times New Roman" w:cs="Times New Roman"/>
      <w:b/>
      <w:sz w:val="30"/>
      <w:szCs w:val="20"/>
      <w:lang w:eastAsia="ru-RU"/>
    </w:rPr>
  </w:style>
  <w:style w:type="paragraph" w:styleId="a3">
    <w:name w:val="Body Text Indent"/>
    <w:basedOn w:val="a"/>
    <w:link w:val="a4"/>
    <w:semiHidden/>
    <w:unhideWhenUsed/>
    <w:rsid w:val="00DE0B5C"/>
    <w:pPr>
      <w:spacing w:after="120"/>
      <w:ind w:left="283"/>
    </w:pPr>
  </w:style>
  <w:style w:type="character" w:customStyle="1" w:styleId="a4">
    <w:name w:val="Основной текст с отступом Знак"/>
    <w:basedOn w:val="a0"/>
    <w:link w:val="a3"/>
    <w:semiHidden/>
    <w:rsid w:val="00DE0B5C"/>
    <w:rPr>
      <w:rFonts w:ascii="Times New Roman" w:eastAsia="Times New Roman" w:hAnsi="Times New Roman" w:cs="Times New Roman"/>
      <w:sz w:val="20"/>
      <w:szCs w:val="20"/>
      <w:lang w:eastAsia="ru-RU"/>
    </w:rPr>
  </w:style>
  <w:style w:type="paragraph" w:styleId="a5">
    <w:name w:val="No Spacing"/>
    <w:uiPriority w:val="1"/>
    <w:qFormat/>
    <w:rsid w:val="00DE0B5C"/>
    <w:pPr>
      <w:spacing w:after="0"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1B77CF"/>
    <w:rPr>
      <w:rFonts w:ascii="Courier New" w:hAnsi="Courier New"/>
    </w:rPr>
  </w:style>
  <w:style w:type="character" w:customStyle="1" w:styleId="a7">
    <w:name w:val="Текст Знак"/>
    <w:basedOn w:val="a0"/>
    <w:link w:val="a6"/>
    <w:rsid w:val="001B77CF"/>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9"/>
    <w:rsid w:val="001D0E12"/>
    <w:rPr>
      <w:rFonts w:ascii="Arial" w:eastAsia="Times New Roman" w:hAnsi="Arial" w:cs="Arial"/>
      <w:b/>
      <w:bCs/>
      <w:color w:val="000080"/>
      <w:sz w:val="24"/>
      <w:szCs w:val="24"/>
      <w:lang w:eastAsia="ru-RU"/>
    </w:rPr>
  </w:style>
  <w:style w:type="paragraph" w:styleId="a8">
    <w:name w:val="header"/>
    <w:basedOn w:val="a"/>
    <w:link w:val="a9"/>
    <w:rsid w:val="001D0E12"/>
    <w:pPr>
      <w:tabs>
        <w:tab w:val="center" w:pos="4677"/>
        <w:tab w:val="right" w:pos="9355"/>
      </w:tabs>
    </w:pPr>
    <w:rPr>
      <w:sz w:val="24"/>
      <w:szCs w:val="24"/>
    </w:rPr>
  </w:style>
  <w:style w:type="character" w:customStyle="1" w:styleId="a9">
    <w:name w:val="Верхний колонтитул Знак"/>
    <w:basedOn w:val="a0"/>
    <w:link w:val="a8"/>
    <w:uiPriority w:val="99"/>
    <w:rsid w:val="001D0E12"/>
    <w:rPr>
      <w:rFonts w:ascii="Times New Roman" w:eastAsia="Times New Roman" w:hAnsi="Times New Roman" w:cs="Times New Roman"/>
      <w:sz w:val="24"/>
      <w:szCs w:val="24"/>
      <w:lang w:eastAsia="ru-RU"/>
    </w:rPr>
  </w:style>
  <w:style w:type="character" w:styleId="aa">
    <w:name w:val="page number"/>
    <w:basedOn w:val="a0"/>
    <w:rsid w:val="001D0E12"/>
  </w:style>
  <w:style w:type="paragraph" w:styleId="ab">
    <w:name w:val="footnote text"/>
    <w:basedOn w:val="a"/>
    <w:link w:val="ac"/>
    <w:semiHidden/>
    <w:rsid w:val="001D0E12"/>
  </w:style>
  <w:style w:type="character" w:customStyle="1" w:styleId="ac">
    <w:name w:val="Текст сноски Знак"/>
    <w:basedOn w:val="a0"/>
    <w:link w:val="ab"/>
    <w:semiHidden/>
    <w:rsid w:val="001D0E12"/>
    <w:rPr>
      <w:rFonts w:ascii="Times New Roman" w:eastAsia="Times New Roman" w:hAnsi="Times New Roman" w:cs="Times New Roman"/>
      <w:sz w:val="20"/>
      <w:szCs w:val="20"/>
      <w:lang w:eastAsia="ru-RU"/>
    </w:rPr>
  </w:style>
  <w:style w:type="character" w:styleId="ad">
    <w:name w:val="footnote reference"/>
    <w:semiHidden/>
    <w:rsid w:val="001D0E12"/>
    <w:rPr>
      <w:vertAlign w:val="superscript"/>
    </w:rPr>
  </w:style>
  <w:style w:type="character" w:styleId="ae">
    <w:name w:val="annotation reference"/>
    <w:semiHidden/>
    <w:rsid w:val="001D0E12"/>
    <w:rPr>
      <w:sz w:val="16"/>
      <w:szCs w:val="16"/>
    </w:rPr>
  </w:style>
  <w:style w:type="paragraph" w:styleId="af">
    <w:name w:val="annotation text"/>
    <w:basedOn w:val="a"/>
    <w:link w:val="af0"/>
    <w:semiHidden/>
    <w:rsid w:val="001D0E12"/>
  </w:style>
  <w:style w:type="character" w:customStyle="1" w:styleId="af0">
    <w:name w:val="Текст примечания Знак"/>
    <w:basedOn w:val="a0"/>
    <w:link w:val="af"/>
    <w:semiHidden/>
    <w:rsid w:val="001D0E12"/>
    <w:rPr>
      <w:rFonts w:ascii="Times New Roman" w:eastAsia="Times New Roman" w:hAnsi="Times New Roman" w:cs="Times New Roman"/>
      <w:sz w:val="20"/>
      <w:szCs w:val="20"/>
      <w:lang w:eastAsia="ru-RU"/>
    </w:rPr>
  </w:style>
  <w:style w:type="paragraph" w:styleId="af1">
    <w:name w:val="annotation subject"/>
    <w:basedOn w:val="af"/>
    <w:next w:val="af"/>
    <w:link w:val="af2"/>
    <w:semiHidden/>
    <w:rsid w:val="001D0E12"/>
    <w:rPr>
      <w:b/>
      <w:bCs/>
    </w:rPr>
  </w:style>
  <w:style w:type="character" w:customStyle="1" w:styleId="af2">
    <w:name w:val="Тема примечания Знак"/>
    <w:basedOn w:val="af0"/>
    <w:link w:val="af1"/>
    <w:semiHidden/>
    <w:rsid w:val="001D0E12"/>
    <w:rPr>
      <w:rFonts w:ascii="Times New Roman" w:eastAsia="Times New Roman" w:hAnsi="Times New Roman" w:cs="Times New Roman"/>
      <w:b/>
      <w:bCs/>
      <w:sz w:val="20"/>
      <w:szCs w:val="20"/>
      <w:lang w:eastAsia="ru-RU"/>
    </w:rPr>
  </w:style>
  <w:style w:type="paragraph" w:styleId="af3">
    <w:name w:val="Balloon Text"/>
    <w:basedOn w:val="a"/>
    <w:link w:val="af4"/>
    <w:semiHidden/>
    <w:rsid w:val="001D0E12"/>
    <w:rPr>
      <w:rFonts w:ascii="Tahoma" w:hAnsi="Tahoma" w:cs="Tahoma"/>
      <w:sz w:val="16"/>
      <w:szCs w:val="16"/>
    </w:rPr>
  </w:style>
  <w:style w:type="character" w:customStyle="1" w:styleId="af4">
    <w:name w:val="Текст выноски Знак"/>
    <w:basedOn w:val="a0"/>
    <w:link w:val="af3"/>
    <w:semiHidden/>
    <w:rsid w:val="001D0E12"/>
    <w:rPr>
      <w:rFonts w:ascii="Tahoma" w:eastAsia="Times New Roman" w:hAnsi="Tahoma" w:cs="Tahoma"/>
      <w:sz w:val="16"/>
      <w:szCs w:val="16"/>
      <w:lang w:eastAsia="ru-RU"/>
    </w:rPr>
  </w:style>
  <w:style w:type="table" w:styleId="af5">
    <w:name w:val="Table Grid"/>
    <w:basedOn w:val="a1"/>
    <w:rsid w:val="001D0E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D0E12"/>
    <w:pPr>
      <w:spacing w:after="0" w:line="240" w:lineRule="auto"/>
    </w:pPr>
    <w:rPr>
      <w:rFonts w:ascii="Times New Roman" w:eastAsia="Times New Roman" w:hAnsi="Times New Roman" w:cs="Times New Roman"/>
      <w:sz w:val="20"/>
      <w:szCs w:val="20"/>
      <w:lang w:eastAsia="ru-RU"/>
    </w:rPr>
  </w:style>
  <w:style w:type="paragraph" w:styleId="af6">
    <w:name w:val="Body Text"/>
    <w:basedOn w:val="a"/>
    <w:link w:val="af7"/>
    <w:unhideWhenUsed/>
    <w:rsid w:val="001D0E12"/>
    <w:pPr>
      <w:spacing w:after="120"/>
    </w:pPr>
    <w:rPr>
      <w:sz w:val="24"/>
      <w:szCs w:val="24"/>
    </w:rPr>
  </w:style>
  <w:style w:type="character" w:customStyle="1" w:styleId="af7">
    <w:name w:val="Основной текст Знак"/>
    <w:basedOn w:val="a0"/>
    <w:link w:val="af6"/>
    <w:rsid w:val="001D0E12"/>
    <w:rPr>
      <w:rFonts w:ascii="Times New Roman" w:eastAsia="Times New Roman" w:hAnsi="Times New Roman" w:cs="Times New Roman"/>
      <w:sz w:val="24"/>
      <w:szCs w:val="24"/>
      <w:lang w:eastAsia="ru-RU"/>
    </w:rPr>
  </w:style>
  <w:style w:type="paragraph" w:customStyle="1" w:styleId="12">
    <w:name w:val="Заголовок1"/>
    <w:basedOn w:val="a"/>
    <w:next w:val="a"/>
    <w:uiPriority w:val="99"/>
    <w:rsid w:val="001D0E12"/>
    <w:pPr>
      <w:widowControl w:val="0"/>
      <w:autoSpaceDE w:val="0"/>
      <w:autoSpaceDN w:val="0"/>
      <w:adjustRightInd w:val="0"/>
      <w:jc w:val="both"/>
    </w:pPr>
    <w:rPr>
      <w:rFonts w:ascii="Arial" w:hAnsi="Arial" w:cs="Arial"/>
      <w:b/>
      <w:bCs/>
      <w:color w:val="0058A9"/>
      <w:sz w:val="24"/>
      <w:szCs w:val="24"/>
      <w:shd w:val="clear" w:color="auto" w:fill="F4F4F4"/>
    </w:rPr>
  </w:style>
  <w:style w:type="character" w:customStyle="1" w:styleId="af8">
    <w:name w:val="Гипертекстовая ссылка"/>
    <w:uiPriority w:val="99"/>
    <w:rsid w:val="001D0E12"/>
    <w:rPr>
      <w:color w:val="106BBE"/>
    </w:rPr>
  </w:style>
  <w:style w:type="paragraph" w:customStyle="1" w:styleId="ConsPlusNonformat">
    <w:name w:val="ConsPlusNonformat"/>
    <w:uiPriority w:val="99"/>
    <w:rsid w:val="001D0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бычный2"/>
    <w:rsid w:val="006156FC"/>
    <w:pPr>
      <w:spacing w:after="0" w:line="240" w:lineRule="auto"/>
    </w:pPr>
    <w:rPr>
      <w:rFonts w:ascii="Times New Roman" w:eastAsia="Times New Roman" w:hAnsi="Times New Roman" w:cs="Times New Roman"/>
      <w:sz w:val="20"/>
      <w:szCs w:val="20"/>
      <w:lang w:eastAsia="ru-RU"/>
    </w:rPr>
  </w:style>
  <w:style w:type="paragraph" w:customStyle="1" w:styleId="af9">
    <w:name w:val="Прижатый влево"/>
    <w:basedOn w:val="a"/>
    <w:next w:val="a"/>
    <w:uiPriority w:val="99"/>
    <w:rsid w:val="006156FC"/>
    <w:pPr>
      <w:autoSpaceDE w:val="0"/>
      <w:autoSpaceDN w:val="0"/>
      <w:adjustRightInd w:val="0"/>
    </w:pPr>
    <w:rPr>
      <w:rFonts w:ascii="Arial" w:hAnsi="Arial" w:cs="Arial"/>
      <w:sz w:val="24"/>
      <w:szCs w:val="24"/>
    </w:rPr>
  </w:style>
  <w:style w:type="paragraph" w:styleId="afa">
    <w:name w:val="Normal (Web)"/>
    <w:basedOn w:val="a"/>
    <w:uiPriority w:val="99"/>
    <w:unhideWhenUsed/>
    <w:rsid w:val="006156FC"/>
    <w:pPr>
      <w:spacing w:before="100" w:beforeAutospacing="1" w:after="100" w:afterAutospacing="1"/>
    </w:pPr>
    <w:rPr>
      <w:sz w:val="24"/>
      <w:szCs w:val="24"/>
    </w:rPr>
  </w:style>
  <w:style w:type="paragraph" w:customStyle="1" w:styleId="afb">
    <w:name w:val="Знак Знак Знак Знак Знак Знак Знак"/>
    <w:basedOn w:val="a"/>
    <w:rsid w:val="006156FC"/>
    <w:pPr>
      <w:spacing w:after="160" w:line="240" w:lineRule="exact"/>
    </w:pPr>
  </w:style>
  <w:style w:type="character" w:styleId="afc">
    <w:name w:val="Hyperlink"/>
    <w:semiHidden/>
    <w:unhideWhenUsed/>
    <w:rsid w:val="005E58E2"/>
    <w:rPr>
      <w:color w:val="0000FF"/>
      <w:u w:val="single"/>
    </w:rPr>
  </w:style>
  <w:style w:type="paragraph" w:customStyle="1" w:styleId="Default">
    <w:name w:val="Default"/>
    <w:rsid w:val="00FC33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basedOn w:val="a0"/>
    <w:uiPriority w:val="20"/>
    <w:qFormat/>
    <w:rsid w:val="00176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949762">
      <w:bodyDiv w:val="1"/>
      <w:marLeft w:val="0"/>
      <w:marRight w:val="0"/>
      <w:marTop w:val="0"/>
      <w:marBottom w:val="0"/>
      <w:divBdr>
        <w:top w:val="none" w:sz="0" w:space="0" w:color="auto"/>
        <w:left w:val="none" w:sz="0" w:space="0" w:color="auto"/>
        <w:bottom w:val="none" w:sz="0" w:space="0" w:color="auto"/>
        <w:right w:val="none" w:sz="0" w:space="0" w:color="auto"/>
      </w:divBdr>
    </w:div>
    <w:div w:id="475487018">
      <w:bodyDiv w:val="1"/>
      <w:marLeft w:val="0"/>
      <w:marRight w:val="0"/>
      <w:marTop w:val="0"/>
      <w:marBottom w:val="0"/>
      <w:divBdr>
        <w:top w:val="none" w:sz="0" w:space="0" w:color="auto"/>
        <w:left w:val="none" w:sz="0" w:space="0" w:color="auto"/>
        <w:bottom w:val="none" w:sz="0" w:space="0" w:color="auto"/>
        <w:right w:val="none" w:sz="0" w:space="0" w:color="auto"/>
      </w:divBdr>
    </w:div>
    <w:div w:id="552808475">
      <w:bodyDiv w:val="1"/>
      <w:marLeft w:val="0"/>
      <w:marRight w:val="0"/>
      <w:marTop w:val="0"/>
      <w:marBottom w:val="0"/>
      <w:divBdr>
        <w:top w:val="none" w:sz="0" w:space="0" w:color="auto"/>
        <w:left w:val="none" w:sz="0" w:space="0" w:color="auto"/>
        <w:bottom w:val="none" w:sz="0" w:space="0" w:color="auto"/>
        <w:right w:val="none" w:sz="0" w:space="0" w:color="auto"/>
      </w:divBdr>
    </w:div>
    <w:div w:id="806897297">
      <w:bodyDiv w:val="1"/>
      <w:marLeft w:val="0"/>
      <w:marRight w:val="0"/>
      <w:marTop w:val="0"/>
      <w:marBottom w:val="0"/>
      <w:divBdr>
        <w:top w:val="none" w:sz="0" w:space="0" w:color="auto"/>
        <w:left w:val="none" w:sz="0" w:space="0" w:color="auto"/>
        <w:bottom w:val="none" w:sz="0" w:space="0" w:color="auto"/>
        <w:right w:val="none" w:sz="0" w:space="0" w:color="auto"/>
      </w:divBdr>
    </w:div>
    <w:div w:id="1092238263">
      <w:bodyDiv w:val="1"/>
      <w:marLeft w:val="0"/>
      <w:marRight w:val="0"/>
      <w:marTop w:val="0"/>
      <w:marBottom w:val="0"/>
      <w:divBdr>
        <w:top w:val="none" w:sz="0" w:space="0" w:color="auto"/>
        <w:left w:val="none" w:sz="0" w:space="0" w:color="auto"/>
        <w:bottom w:val="none" w:sz="0" w:space="0" w:color="auto"/>
        <w:right w:val="none" w:sz="0" w:space="0" w:color="auto"/>
      </w:divBdr>
    </w:div>
    <w:div w:id="1441686054">
      <w:bodyDiv w:val="1"/>
      <w:marLeft w:val="0"/>
      <w:marRight w:val="0"/>
      <w:marTop w:val="0"/>
      <w:marBottom w:val="0"/>
      <w:divBdr>
        <w:top w:val="none" w:sz="0" w:space="0" w:color="auto"/>
        <w:left w:val="none" w:sz="0" w:space="0" w:color="auto"/>
        <w:bottom w:val="none" w:sz="0" w:space="0" w:color="auto"/>
        <w:right w:val="none" w:sz="0" w:space="0" w:color="auto"/>
      </w:divBdr>
    </w:div>
    <w:div w:id="1706559670">
      <w:bodyDiv w:val="1"/>
      <w:marLeft w:val="0"/>
      <w:marRight w:val="0"/>
      <w:marTop w:val="0"/>
      <w:marBottom w:val="0"/>
      <w:divBdr>
        <w:top w:val="none" w:sz="0" w:space="0" w:color="auto"/>
        <w:left w:val="none" w:sz="0" w:space="0" w:color="auto"/>
        <w:bottom w:val="none" w:sz="0" w:space="0" w:color="auto"/>
        <w:right w:val="none" w:sz="0" w:space="0" w:color="auto"/>
      </w:divBdr>
    </w:div>
    <w:div w:id="20480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57B3-F7B5-462C-8900-E6EBE3DE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Сочнева</cp:lastModifiedBy>
  <cp:revision>2</cp:revision>
  <cp:lastPrinted>2023-05-04T11:32:00Z</cp:lastPrinted>
  <dcterms:created xsi:type="dcterms:W3CDTF">2024-01-10T12:40:00Z</dcterms:created>
  <dcterms:modified xsi:type="dcterms:W3CDTF">2024-01-10T12:40:00Z</dcterms:modified>
</cp:coreProperties>
</file>