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</w:t>
      </w:r>
      <w:r w:rsidR="009C1A1B">
        <w:rPr>
          <w:b/>
          <w:sz w:val="28"/>
          <w:szCs w:val="28"/>
        </w:rPr>
        <w:t>ОБРАЗОВАНИЯ ТИМАШЕВСКИЙ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400DA3" w:rsidRDefault="00DE0B5C" w:rsidP="00564EC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D3BD7" w:rsidRPr="00BC6F49" w:rsidRDefault="00DE0B5C" w:rsidP="00DD3BD7">
      <w:pPr>
        <w:jc w:val="center"/>
        <w:rPr>
          <w:b/>
          <w:sz w:val="28"/>
          <w:szCs w:val="28"/>
        </w:rPr>
      </w:pPr>
      <w:r w:rsidRPr="001B77CF">
        <w:rPr>
          <w:b/>
          <w:sz w:val="28"/>
          <w:szCs w:val="28"/>
        </w:rPr>
        <w:t>о результатах</w:t>
      </w:r>
      <w:r w:rsidR="004B7841">
        <w:rPr>
          <w:b/>
          <w:sz w:val="28"/>
          <w:szCs w:val="28"/>
        </w:rPr>
        <w:t xml:space="preserve"> </w:t>
      </w:r>
      <w:r w:rsidR="00DD3BD7" w:rsidRPr="00336137">
        <w:rPr>
          <w:b/>
          <w:sz w:val="28"/>
          <w:szCs w:val="28"/>
        </w:rPr>
        <w:t>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муниципального образования Тимашевский район</w:t>
      </w:r>
      <w:r w:rsidR="00DD3BD7" w:rsidRPr="00BC6F49">
        <w:rPr>
          <w:b/>
          <w:sz w:val="28"/>
          <w:szCs w:val="28"/>
        </w:rPr>
        <w:t xml:space="preserve"> за 20</w:t>
      </w:r>
      <w:r w:rsidR="009C4BCC">
        <w:rPr>
          <w:b/>
          <w:sz w:val="28"/>
          <w:szCs w:val="28"/>
        </w:rPr>
        <w:t>2</w:t>
      </w:r>
      <w:r w:rsidR="00D90620">
        <w:rPr>
          <w:b/>
          <w:sz w:val="28"/>
          <w:szCs w:val="28"/>
        </w:rPr>
        <w:t>2</w:t>
      </w:r>
      <w:r w:rsidR="00DD3BD7" w:rsidRPr="00BC6F49">
        <w:rPr>
          <w:b/>
          <w:sz w:val="28"/>
          <w:szCs w:val="28"/>
        </w:rPr>
        <w:t xml:space="preserve"> год.</w:t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0D20CA" w:rsidRDefault="004B7841" w:rsidP="00D90620">
      <w:pPr>
        <w:pStyle w:val="af6"/>
        <w:spacing w:after="0"/>
        <w:ind w:firstLine="567"/>
        <w:jc w:val="both"/>
        <w:rPr>
          <w:b/>
          <w:sz w:val="28"/>
          <w:szCs w:val="28"/>
        </w:rPr>
      </w:pPr>
      <w:r w:rsidRPr="00AF6B0A">
        <w:rPr>
          <w:b/>
          <w:sz w:val="28"/>
          <w:szCs w:val="28"/>
        </w:rPr>
        <w:t>Основание для проведения контрольного мероприятия:</w:t>
      </w:r>
      <w:r w:rsidRPr="0024471A">
        <w:rPr>
          <w:sz w:val="28"/>
          <w:szCs w:val="28"/>
        </w:rPr>
        <w:t xml:space="preserve"> </w:t>
      </w:r>
      <w:r w:rsidR="000D20CA" w:rsidRPr="000D20CA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FE2B80">
        <w:rPr>
          <w:sz w:val="28"/>
          <w:szCs w:val="28"/>
        </w:rPr>
        <w:t>2</w:t>
      </w:r>
      <w:r w:rsidR="00665E51">
        <w:rPr>
          <w:sz w:val="28"/>
          <w:szCs w:val="28"/>
        </w:rPr>
        <w:t>2</w:t>
      </w:r>
      <w:r w:rsidR="000D20CA" w:rsidRPr="000D20CA">
        <w:rPr>
          <w:sz w:val="28"/>
          <w:szCs w:val="28"/>
        </w:rPr>
        <w:t xml:space="preserve"> год, распоряжения председателя на проведение контрольного мероприятия от </w:t>
      </w:r>
      <w:r w:rsidR="00665E51">
        <w:rPr>
          <w:sz w:val="28"/>
          <w:szCs w:val="28"/>
        </w:rPr>
        <w:t>2</w:t>
      </w:r>
      <w:r w:rsidR="00D90620">
        <w:rPr>
          <w:sz w:val="28"/>
          <w:szCs w:val="28"/>
        </w:rPr>
        <w:t>0</w:t>
      </w:r>
      <w:r w:rsidR="00665E51" w:rsidRPr="000D20CA">
        <w:rPr>
          <w:sz w:val="28"/>
          <w:szCs w:val="28"/>
        </w:rPr>
        <w:t>.03.20</w:t>
      </w:r>
      <w:r w:rsidR="00665E51">
        <w:rPr>
          <w:sz w:val="28"/>
          <w:szCs w:val="28"/>
        </w:rPr>
        <w:t>2</w:t>
      </w:r>
      <w:r w:rsidR="00D90620">
        <w:rPr>
          <w:sz w:val="28"/>
          <w:szCs w:val="28"/>
        </w:rPr>
        <w:t>3</w:t>
      </w:r>
      <w:r w:rsidR="00665E51" w:rsidRPr="000D20CA">
        <w:rPr>
          <w:sz w:val="28"/>
          <w:szCs w:val="28"/>
        </w:rPr>
        <w:t xml:space="preserve"> №</w:t>
      </w:r>
      <w:r w:rsidR="00D90620">
        <w:rPr>
          <w:sz w:val="28"/>
          <w:szCs w:val="28"/>
        </w:rPr>
        <w:t xml:space="preserve"> 68</w:t>
      </w:r>
      <w:r w:rsidR="00665E51">
        <w:rPr>
          <w:sz w:val="28"/>
          <w:szCs w:val="28"/>
        </w:rPr>
        <w:t>.</w:t>
      </w:r>
      <w:r w:rsidR="000D20CA" w:rsidRPr="000D20C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:rsidR="000D20CA" w:rsidRDefault="007B43AE" w:rsidP="00D90620">
      <w:pPr>
        <w:pStyle w:val="af6"/>
        <w:spacing w:after="0"/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D90620">
      <w:pPr>
        <w:pStyle w:val="af6"/>
        <w:spacing w:after="0"/>
        <w:ind w:firstLine="567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D90620">
      <w:pPr>
        <w:tabs>
          <w:tab w:val="left" w:pos="2265"/>
        </w:tabs>
        <w:ind w:firstLine="567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D90620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 Тимашевский район;</w:t>
      </w:r>
    </w:p>
    <w:p w:rsidR="007B43AE" w:rsidRPr="0024471A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Тимашевский район;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администрации муниципального образования Тимашевский район;</w:t>
      </w:r>
    </w:p>
    <w:p w:rsidR="00886B0F" w:rsidRDefault="00886B0F" w:rsidP="00D90620">
      <w:pPr>
        <w:ind w:firstLine="567"/>
        <w:jc w:val="both"/>
        <w:rPr>
          <w:sz w:val="28"/>
          <w:szCs w:val="28"/>
        </w:rPr>
      </w:pPr>
      <w:r w:rsidRPr="00886B0F">
        <w:rPr>
          <w:sz w:val="28"/>
          <w:szCs w:val="28"/>
        </w:rPr>
        <w:t>Отдел финансового и ведомственного контроля администрации муниципального образования Тимашевский район</w:t>
      </w:r>
      <w:r>
        <w:rPr>
          <w:sz w:val="28"/>
          <w:szCs w:val="28"/>
        </w:rPr>
        <w:t>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 муниципального образования Тимашевский район;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строительства администрации муниципального образования Тимашевский район;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Тимашевский район;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администрации муниципального образования Тимашевский район;</w:t>
      </w:r>
    </w:p>
    <w:p w:rsidR="007B43AE" w:rsidRDefault="007B43AE" w:rsidP="00D90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по физической культуре и спорту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 по делам молодежи администрации муниципального образования Тимашевский район;</w:t>
      </w:r>
    </w:p>
    <w:p w:rsidR="007B43AE" w:rsidRDefault="007B43AE" w:rsidP="007B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 семьи и детства администрации муниципального образования Тимашевский район;</w:t>
      </w:r>
    </w:p>
    <w:p w:rsid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0D20CA" w:rsidRPr="000D20CA" w:rsidRDefault="000D20CA" w:rsidP="000D20CA">
      <w:pPr>
        <w:ind w:firstLine="567"/>
        <w:jc w:val="both"/>
        <w:rPr>
          <w:sz w:val="28"/>
          <w:szCs w:val="28"/>
        </w:rPr>
      </w:pPr>
      <w:r w:rsidRPr="000D20CA">
        <w:rPr>
          <w:sz w:val="28"/>
          <w:szCs w:val="28"/>
        </w:rPr>
        <w:t>годовая бюджетная отчетность, состав и формы которой утверждены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</w:t>
      </w:r>
      <w:r w:rsidR="00703D13">
        <w:rPr>
          <w:sz w:val="28"/>
          <w:szCs w:val="28"/>
        </w:rPr>
        <w:t xml:space="preserve"> (далее- Инструкци</w:t>
      </w:r>
      <w:r w:rsidR="00FC3CD8">
        <w:rPr>
          <w:sz w:val="28"/>
          <w:szCs w:val="28"/>
        </w:rPr>
        <w:t>я</w:t>
      </w:r>
      <w:r w:rsidR="00703D13">
        <w:rPr>
          <w:sz w:val="28"/>
          <w:szCs w:val="28"/>
        </w:rPr>
        <w:t xml:space="preserve"> 191н)</w:t>
      </w:r>
      <w:r w:rsidRPr="000D20CA">
        <w:rPr>
          <w:sz w:val="28"/>
          <w:szCs w:val="28"/>
        </w:rPr>
        <w:t xml:space="preserve">; </w:t>
      </w:r>
    </w:p>
    <w:p w:rsidR="000D20CA" w:rsidRPr="000D20CA" w:rsidRDefault="000D20CA" w:rsidP="000D20CA">
      <w:pPr>
        <w:ind w:firstLine="567"/>
        <w:jc w:val="both"/>
        <w:rPr>
          <w:sz w:val="28"/>
          <w:szCs w:val="28"/>
        </w:rPr>
      </w:pPr>
      <w:r w:rsidRPr="000D20CA">
        <w:rPr>
          <w:sz w:val="28"/>
          <w:szCs w:val="28"/>
        </w:rPr>
        <w:t>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по финансам, бюджету и контролю Краснодарского края;</w:t>
      </w:r>
    </w:p>
    <w:p w:rsidR="000D20CA" w:rsidRPr="000D20CA" w:rsidRDefault="000D20CA" w:rsidP="000D20CA">
      <w:pPr>
        <w:ind w:firstLine="567"/>
        <w:jc w:val="both"/>
        <w:rPr>
          <w:sz w:val="28"/>
          <w:szCs w:val="28"/>
        </w:rPr>
      </w:pPr>
      <w:r w:rsidRPr="000D20CA">
        <w:rPr>
          <w:sz w:val="28"/>
          <w:szCs w:val="28"/>
        </w:rPr>
        <w:t xml:space="preserve"> 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0D20CA" w:rsidRPr="000D20CA" w:rsidRDefault="000D20CA" w:rsidP="000D20CA">
      <w:pPr>
        <w:ind w:left="709"/>
        <w:rPr>
          <w:sz w:val="28"/>
          <w:szCs w:val="28"/>
        </w:rPr>
      </w:pPr>
      <w:r w:rsidRPr="000D20CA">
        <w:rPr>
          <w:b/>
          <w:sz w:val="28"/>
          <w:szCs w:val="28"/>
        </w:rPr>
        <w:t>Проверяемый период</w:t>
      </w:r>
      <w:r w:rsidRPr="000D20CA">
        <w:rPr>
          <w:sz w:val="28"/>
          <w:szCs w:val="28"/>
        </w:rPr>
        <w:t xml:space="preserve"> </w:t>
      </w:r>
      <w:r w:rsidRPr="000D20CA">
        <w:rPr>
          <w:b/>
          <w:sz w:val="28"/>
          <w:szCs w:val="28"/>
        </w:rPr>
        <w:t xml:space="preserve">деятельности: </w:t>
      </w:r>
      <w:r w:rsidRPr="00193DCF">
        <w:rPr>
          <w:sz w:val="28"/>
          <w:szCs w:val="28"/>
        </w:rPr>
        <w:t>20</w:t>
      </w:r>
      <w:r w:rsidR="009C4BCC" w:rsidRPr="00193DCF">
        <w:rPr>
          <w:sz w:val="28"/>
          <w:szCs w:val="28"/>
        </w:rPr>
        <w:t>2</w:t>
      </w:r>
      <w:r w:rsidR="00D90620" w:rsidRPr="00193DCF">
        <w:rPr>
          <w:sz w:val="28"/>
          <w:szCs w:val="28"/>
        </w:rPr>
        <w:t>2</w:t>
      </w:r>
      <w:r w:rsidRPr="00193DCF">
        <w:rPr>
          <w:sz w:val="28"/>
          <w:szCs w:val="28"/>
        </w:rPr>
        <w:t xml:space="preserve"> год.</w:t>
      </w:r>
    </w:p>
    <w:p w:rsidR="000D20CA" w:rsidRDefault="000D20CA" w:rsidP="000D20CA">
      <w:pPr>
        <w:ind w:firstLine="709"/>
        <w:jc w:val="both"/>
        <w:rPr>
          <w:sz w:val="28"/>
          <w:szCs w:val="28"/>
        </w:rPr>
      </w:pPr>
      <w:r w:rsidRPr="000D20CA">
        <w:rPr>
          <w:b/>
          <w:sz w:val="28"/>
          <w:szCs w:val="28"/>
        </w:rPr>
        <w:t>Сроки проведения контрольного мероприятия:</w:t>
      </w:r>
      <w:r w:rsidRPr="000D20CA">
        <w:rPr>
          <w:sz w:val="28"/>
          <w:szCs w:val="28"/>
        </w:rPr>
        <w:t xml:space="preserve"> с </w:t>
      </w:r>
      <w:r w:rsidR="009C4BCC">
        <w:rPr>
          <w:sz w:val="28"/>
          <w:szCs w:val="28"/>
        </w:rPr>
        <w:t>2</w:t>
      </w:r>
      <w:r w:rsidR="00D90620">
        <w:rPr>
          <w:sz w:val="28"/>
          <w:szCs w:val="28"/>
        </w:rPr>
        <w:t>0</w:t>
      </w:r>
      <w:r w:rsidRPr="000D20CA">
        <w:rPr>
          <w:sz w:val="28"/>
          <w:szCs w:val="28"/>
        </w:rPr>
        <w:t>.03.20</w:t>
      </w:r>
      <w:r w:rsidR="00E85058">
        <w:rPr>
          <w:sz w:val="28"/>
          <w:szCs w:val="28"/>
        </w:rPr>
        <w:t>2</w:t>
      </w:r>
      <w:r w:rsidR="00D90620">
        <w:rPr>
          <w:sz w:val="28"/>
          <w:szCs w:val="28"/>
        </w:rPr>
        <w:t>3</w:t>
      </w:r>
      <w:r w:rsidRPr="000D20CA">
        <w:rPr>
          <w:sz w:val="28"/>
          <w:szCs w:val="28"/>
        </w:rPr>
        <w:t xml:space="preserve"> по </w:t>
      </w:r>
      <w:r w:rsidR="00D90620">
        <w:rPr>
          <w:sz w:val="28"/>
          <w:szCs w:val="28"/>
        </w:rPr>
        <w:t>17</w:t>
      </w:r>
      <w:r w:rsidRPr="000D20CA">
        <w:rPr>
          <w:sz w:val="28"/>
          <w:szCs w:val="28"/>
        </w:rPr>
        <w:t>.04.20</w:t>
      </w:r>
      <w:r w:rsidR="00E85058">
        <w:rPr>
          <w:sz w:val="28"/>
          <w:szCs w:val="28"/>
        </w:rPr>
        <w:t>2</w:t>
      </w:r>
      <w:r w:rsidR="00D90620">
        <w:rPr>
          <w:sz w:val="28"/>
          <w:szCs w:val="28"/>
        </w:rPr>
        <w:t>3</w:t>
      </w:r>
      <w:r w:rsidRPr="000D20CA">
        <w:rPr>
          <w:sz w:val="28"/>
          <w:szCs w:val="28"/>
        </w:rPr>
        <w:t xml:space="preserve">. </w:t>
      </w:r>
    </w:p>
    <w:p w:rsidR="00886B0F" w:rsidRPr="00886B0F" w:rsidRDefault="00886B0F" w:rsidP="00886B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86B0F">
        <w:rPr>
          <w:sz w:val="28"/>
          <w:szCs w:val="28"/>
        </w:rPr>
        <w:t xml:space="preserve">В соответствии с требованиями, установленными статьёй </w:t>
      </w:r>
      <w:r w:rsidRPr="00886B0F">
        <w:rPr>
          <w:bCs/>
          <w:sz w:val="28"/>
          <w:szCs w:val="28"/>
        </w:rPr>
        <w:t>264.4 БК РФ и разделом 18 Положения о бюджетном процессе, контрольно-счётной палатой проведена внешняя проверка годовой бюджетной отчетности главных администраторов средств районного бюджета, по результатам проверки составлены соответствующие акты.</w:t>
      </w:r>
    </w:p>
    <w:p w:rsidR="00886B0F" w:rsidRPr="00886B0F" w:rsidRDefault="00886B0F" w:rsidP="00886B0F">
      <w:pPr>
        <w:ind w:firstLine="567"/>
        <w:jc w:val="both"/>
        <w:rPr>
          <w:iCs/>
          <w:sz w:val="28"/>
          <w:szCs w:val="28"/>
        </w:rPr>
      </w:pPr>
      <w:r w:rsidRPr="00886B0F">
        <w:rPr>
          <w:iCs/>
          <w:sz w:val="28"/>
          <w:szCs w:val="28"/>
        </w:rPr>
        <w:t>В 202</w:t>
      </w:r>
      <w:r w:rsidR="00D90620">
        <w:rPr>
          <w:iCs/>
          <w:sz w:val="28"/>
          <w:szCs w:val="28"/>
        </w:rPr>
        <w:t>2</w:t>
      </w:r>
      <w:r w:rsidRPr="00886B0F">
        <w:rPr>
          <w:iCs/>
          <w:sz w:val="28"/>
          <w:szCs w:val="28"/>
        </w:rPr>
        <w:t xml:space="preserve"> году бюджет муниципального образования согласно данным Отчета исполняли 11 главных администраторов, в том числе: С</w:t>
      </w:r>
      <w:r w:rsidRPr="00886B0F">
        <w:rPr>
          <w:sz w:val="28"/>
          <w:szCs w:val="28"/>
        </w:rPr>
        <w:t xml:space="preserve">овет муниципального образования Тимашевский район, Администрация муниципального образования Тимашевский район;  Финансовое управление,  Отдел финансового и ведомственного контроля администрации муниципального образования Тимашевский район, Контрольно-счетная палата, Отдел строительства,  Управление образования, Отдел культуры, Отдел по физической культуре и спорту, Отдел по делам молодежи, Отдел по вопросам семьи и детства и </w:t>
      </w:r>
      <w:r w:rsidRPr="00886B0F">
        <w:rPr>
          <w:iCs/>
          <w:sz w:val="28"/>
          <w:szCs w:val="28"/>
        </w:rPr>
        <w:t xml:space="preserve"> 11 территориальных подразделений федеральных органов исполнительной власти</w:t>
      </w:r>
      <w:r w:rsidR="00D90620">
        <w:rPr>
          <w:rStyle w:val="ad"/>
          <w:iCs/>
          <w:sz w:val="28"/>
          <w:szCs w:val="28"/>
        </w:rPr>
        <w:footnoteReference w:id="1"/>
      </w:r>
      <w:r w:rsidRPr="00886B0F">
        <w:rPr>
          <w:iCs/>
          <w:sz w:val="28"/>
          <w:szCs w:val="28"/>
        </w:rPr>
        <w:t>.</w:t>
      </w:r>
    </w:p>
    <w:p w:rsidR="00886B0F" w:rsidRPr="00886B0F" w:rsidRDefault="00886B0F" w:rsidP="00886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6B0F">
        <w:rPr>
          <w:sz w:val="28"/>
          <w:szCs w:val="28"/>
        </w:rPr>
        <w:t>В целом работа главными администраторами (главными распорядителями) средств районного бюджета, в 202</w:t>
      </w:r>
      <w:r w:rsidR="00555723">
        <w:rPr>
          <w:sz w:val="28"/>
          <w:szCs w:val="28"/>
        </w:rPr>
        <w:t>2</w:t>
      </w:r>
      <w:r w:rsidRPr="00886B0F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</w:t>
      </w:r>
      <w:r w:rsidRPr="00886B0F">
        <w:rPr>
          <w:sz w:val="28"/>
          <w:szCs w:val="28"/>
        </w:rPr>
        <w:lastRenderedPageBreak/>
        <w:t>инструкций и рекомендаций Министерства финансов Российской Федерации и Министерства финансов Краснодарского края.</w:t>
      </w:r>
    </w:p>
    <w:p w:rsidR="00886B0F" w:rsidRPr="00886B0F" w:rsidRDefault="00886B0F" w:rsidP="00886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6B0F">
        <w:rPr>
          <w:sz w:val="28"/>
          <w:szCs w:val="28"/>
        </w:rPr>
        <w:t>Главные распорядители (администраторы) средств районного бюджета представили формы годовой бюджетной отчетности в соответствии с пунктом 11.1 Инструкции 191н, перечень форм годовой бюджетной отчетности, не имеющих числовых значений, отражен в Разделе 5 Пояснительной записки (</w:t>
      </w:r>
      <w:hyperlink r:id="rId8" w:history="1">
        <w:r w:rsidRPr="00886B0F">
          <w:rPr>
            <w:sz w:val="28"/>
            <w:szCs w:val="28"/>
          </w:rPr>
          <w:t>ф. 0503160</w:t>
        </w:r>
      </w:hyperlink>
      <w:r w:rsidRPr="00886B0F">
        <w:rPr>
          <w:sz w:val="28"/>
          <w:szCs w:val="28"/>
        </w:rPr>
        <w:t>).</w:t>
      </w:r>
    </w:p>
    <w:p w:rsidR="00886B0F" w:rsidRPr="00886B0F" w:rsidRDefault="00886B0F" w:rsidP="00886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6B0F">
        <w:rPr>
          <w:sz w:val="28"/>
          <w:szCs w:val="28"/>
        </w:rPr>
        <w:t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202</w:t>
      </w:r>
      <w:r w:rsidR="00555723">
        <w:rPr>
          <w:sz w:val="28"/>
          <w:szCs w:val="28"/>
        </w:rPr>
        <w:t>2</w:t>
      </w:r>
      <w:r w:rsidRPr="00886B0F">
        <w:rPr>
          <w:sz w:val="28"/>
          <w:szCs w:val="28"/>
        </w:rPr>
        <w:t xml:space="preserve"> год.</w:t>
      </w:r>
    </w:p>
    <w:p w:rsidR="00886B0F" w:rsidRPr="00886B0F" w:rsidRDefault="00886B0F" w:rsidP="00886B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B0F">
        <w:rPr>
          <w:sz w:val="28"/>
          <w:szCs w:val="28"/>
        </w:rPr>
        <w:t>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главными администраторами (главными распорядителями) средств районного бюджета соблюдается согласованность в различных отчётных формах одноименных показателей годовой бюджетной отчётности.</w:t>
      </w:r>
    </w:p>
    <w:p w:rsidR="00886B0F" w:rsidRPr="00886B0F" w:rsidRDefault="00886B0F" w:rsidP="00886B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B0F">
        <w:rPr>
          <w:sz w:val="28"/>
          <w:szCs w:val="28"/>
        </w:rPr>
        <w:t xml:space="preserve">Данные по объему доходов, расходов и источников финансирования дефицита бюджета, представленные в Отчете об исполнении бюджета, согласуются с данными, отраженными в годовой бюджетной отчетности   главных администраторов (главных распорядителей) средств районного бюджета, что свидетельствует о достоверности представленного отчета, как носителя информации о бюджетной деятельности в районе.  </w:t>
      </w:r>
    </w:p>
    <w:p w:rsidR="00886B0F" w:rsidRPr="00886B0F" w:rsidRDefault="00886B0F" w:rsidP="00886B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B0F">
        <w:rPr>
          <w:sz w:val="28"/>
          <w:szCs w:val="28"/>
        </w:rPr>
        <w:t>Показатели исполнения доходной и расходной частей бюджета, приведенные в проекте Решения «Об утверждении годового отчета об исполнении бюджета муниципального образования Тимашевский район за 202</w:t>
      </w:r>
      <w:r w:rsidR="00555723">
        <w:rPr>
          <w:sz w:val="28"/>
          <w:szCs w:val="28"/>
        </w:rPr>
        <w:t>2</w:t>
      </w:r>
      <w:r w:rsidRPr="00886B0F">
        <w:rPr>
          <w:sz w:val="28"/>
          <w:szCs w:val="28"/>
        </w:rPr>
        <w:t xml:space="preserve"> год», соответствует показателям Отчета. Состав приложений к проекту Решения соответствует перечню, приведенному в ст. 264.6 БК РФ и п. 19.2 Положения о бюджетном процессе.    </w:t>
      </w:r>
    </w:p>
    <w:p w:rsidR="00886B0F" w:rsidRPr="00886B0F" w:rsidRDefault="00886B0F" w:rsidP="00886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6B0F">
        <w:rPr>
          <w:sz w:val="28"/>
          <w:szCs w:val="28"/>
        </w:rPr>
        <w:t xml:space="preserve">2. В то же время внешней проверкой годовой бюджетной отчетности    главных распорядителей (администраторов) средств районного бюджета установлено: </w:t>
      </w:r>
    </w:p>
    <w:p w:rsidR="00555723" w:rsidRPr="00555723" w:rsidRDefault="00555723" w:rsidP="00555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5723">
        <w:rPr>
          <w:sz w:val="28"/>
          <w:szCs w:val="28"/>
        </w:rPr>
        <w:t>2.1. Администрацией муниципального образования Тимашевский район допущены нарушения:</w:t>
      </w:r>
    </w:p>
    <w:p w:rsidR="00555723" w:rsidRPr="00555723" w:rsidRDefault="00555723" w:rsidP="0055572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x-none"/>
        </w:rPr>
      </w:pPr>
      <w:r w:rsidRPr="00555723">
        <w:rPr>
          <w:bCs/>
          <w:sz w:val="28"/>
          <w:szCs w:val="28"/>
          <w:lang w:eastAsia="x-none"/>
        </w:rPr>
        <w:t>части 1 статьи 13 Федерального закона № 402-ФЗ, абзаца четвертого пункта 71 Инструкции 191н, абзаца четвертого пункта 308 Инструкции № 157н, пункта 141.1 Инструкции № 162н, выразившиеся в несоблюдении порядка бюджетного учета санкционирования расходов экономических субъектов в части принимаемых обязательств (счет 1 502 17 000), что привело к несопоставимости показателей Отчета (ф. 0503128) субъектов учета по состоянию на 01.01.2023 данным регистров их бюджетного учета на сумму 14 366,5 тыс. рублей;</w:t>
      </w:r>
    </w:p>
    <w:p w:rsidR="00555723" w:rsidRPr="00555723" w:rsidRDefault="00555723" w:rsidP="0055572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x-none"/>
        </w:rPr>
      </w:pPr>
      <w:r w:rsidRPr="00555723">
        <w:rPr>
          <w:bCs/>
          <w:sz w:val="28"/>
          <w:szCs w:val="28"/>
          <w:lang w:eastAsia="x-none"/>
        </w:rPr>
        <w:t>части 2 статьи 10, части 1 статьи 13 Федерального закона № 402-ФЗ, пунктов 70, 141 Инструкции № 157н, выразившиеся  отражением в бюджетном учете и бюджетной отчетности по состоянию на 01.01.2023 в составе земельных участков, расположенных в пределах муниципального образования Тимашевский район, государственная собственность на которые не разграничена, вовлеченных уполномоченными органами местного самоуправления в хозяйственный оборот, сведения о которых внесены в ЕГРН, на соответствующих счетах аналитического учета счета 0 103 13 000 «Прочие непроизведенные активы» 3 объектов НПА на сумму 22 417 142,26 руб., фактически принадлежащих на праве собственности муниципальному образованию Тимашевский район;</w:t>
      </w:r>
    </w:p>
    <w:p w:rsidR="00555723" w:rsidRDefault="00555723" w:rsidP="0055572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x-none"/>
        </w:rPr>
      </w:pPr>
      <w:r w:rsidRPr="00555723">
        <w:rPr>
          <w:bCs/>
          <w:sz w:val="28"/>
          <w:szCs w:val="28"/>
          <w:lang w:eastAsia="x-none"/>
        </w:rPr>
        <w:t xml:space="preserve">части 2 статьи 10, части 1 статьи 13 Федерального закона № 402-ФЗ, пункта 70, абзаца второго пункта 71 Инструкции № 157н, выразившиеся отражением в бюджетном учете и бюджетной отчетности объекта контроля по состоянию на 01.01.2023 в составе земельных участков, расположенных в пределах муниципального образования Тимашевский район, государственная собственность на которые не разграничена, вовлеченных уполномоченными органами местного самоуправления в хозяйственный оборот, сведения о которых внесены в ЕГРН, на соответствующих счетах аналитического учета счета 0 103 13 000 «Прочие непроизведенные активы» одного объекта НПА на сумму 6 077 460,0 руб., фактически принадлежащих на конец 2022 года Краснодарскому краю. </w:t>
      </w:r>
    </w:p>
    <w:p w:rsidR="00555723" w:rsidRPr="00555723" w:rsidRDefault="00555723" w:rsidP="0055572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x-none"/>
        </w:rPr>
      </w:pPr>
      <w:r w:rsidRPr="00555723">
        <w:rPr>
          <w:sz w:val="28"/>
          <w:szCs w:val="28"/>
        </w:rPr>
        <w:t>При этом при проведении в целях составления годовой бюджетной отчетности за 2022 год инвентаризации имущества</w:t>
      </w:r>
      <w:r w:rsidRPr="00555723">
        <w:rPr>
          <w:sz w:val="28"/>
          <w:szCs w:val="28"/>
          <w:vertAlign w:val="superscript"/>
        </w:rPr>
        <w:footnoteReference w:id="2"/>
      </w:r>
      <w:r w:rsidRPr="00555723">
        <w:rPr>
          <w:sz w:val="28"/>
          <w:szCs w:val="28"/>
        </w:rPr>
        <w:t xml:space="preserve"> инвентаризационная комиссия администрации района проводила инвентаризацию земельных участков, государственная собственность на которые не разграничена, вовлеченных уполномоченным органом местного самоуправления в хозяйственный оборот, сведения о которых включены в ЕГРН, (согласно инвентаризационной описи (сличительной ведомости) № б/н от 21.11.2022 расхождений между данными бухгалтерского учета и фактическим наличием активов не выявлено), что свидетельствует о формальности ее проведения</w:t>
      </w:r>
      <w:r w:rsidRPr="00555723">
        <w:rPr>
          <w:sz w:val="28"/>
          <w:szCs w:val="28"/>
          <w:vertAlign w:val="superscript"/>
        </w:rPr>
        <w:footnoteReference w:id="3"/>
      </w:r>
      <w:r w:rsidRPr="00555723">
        <w:rPr>
          <w:sz w:val="28"/>
          <w:szCs w:val="28"/>
        </w:rPr>
        <w:t xml:space="preserve"> и необеспечении достоверности данных бюджетного учета и бюджетной отчетности администрации по состоянию на 01.01.2023</w:t>
      </w:r>
      <w:r>
        <w:rPr>
          <w:sz w:val="28"/>
          <w:szCs w:val="28"/>
        </w:rPr>
        <w:t>.</w:t>
      </w:r>
    </w:p>
    <w:p w:rsidR="00555723" w:rsidRPr="00555723" w:rsidRDefault="00555723" w:rsidP="00555723">
      <w:pPr>
        <w:tabs>
          <w:tab w:val="left" w:pos="900"/>
          <w:tab w:val="left" w:pos="1080"/>
        </w:tabs>
        <w:suppressAutoHyphens/>
        <w:autoSpaceDE w:val="0"/>
        <w:autoSpaceDN w:val="0"/>
        <w:adjustRightInd w:val="0"/>
        <w:spacing w:before="40"/>
        <w:ind w:firstLine="709"/>
        <w:contextualSpacing/>
        <w:jc w:val="both"/>
        <w:rPr>
          <w:color w:val="000000"/>
          <w:sz w:val="28"/>
          <w:szCs w:val="28"/>
        </w:rPr>
      </w:pPr>
      <w:r w:rsidRPr="00555723">
        <w:rPr>
          <w:color w:val="000000"/>
          <w:sz w:val="28"/>
          <w:szCs w:val="28"/>
        </w:rPr>
        <w:t xml:space="preserve">Указанные нарушения единой методологии бюджетного учета и бюджетной отчетности привели к искажению показателей бюджетной отчетности администрации района за 2022 год, выраженных в денежном измерении, которое привело к искажению информации об активах </w:t>
      </w:r>
      <w:r w:rsidRPr="00555723">
        <w:rPr>
          <w:color w:val="000000"/>
          <w:sz w:val="28"/>
          <w:szCs w:val="28"/>
        </w:rPr>
        <w:br/>
      </w:r>
      <w:r w:rsidRPr="00555723">
        <w:rPr>
          <w:i/>
          <w:color w:val="000000"/>
          <w:sz w:val="24"/>
          <w:szCs w:val="24"/>
        </w:rPr>
        <w:t>(непроизведенные активы</w:t>
      </w:r>
      <w:r w:rsidRPr="00555723">
        <w:rPr>
          <w:color w:val="000000"/>
          <w:sz w:val="28"/>
          <w:szCs w:val="28"/>
        </w:rPr>
        <w:t xml:space="preserve"> </w:t>
      </w:r>
      <w:r w:rsidRPr="00555723">
        <w:rPr>
          <w:i/>
          <w:color w:val="000000"/>
          <w:sz w:val="24"/>
          <w:szCs w:val="24"/>
        </w:rPr>
        <w:t>на 28 494 602,26 руб. (</w:t>
      </w:r>
      <w:r w:rsidRPr="00555723">
        <w:rPr>
          <w:bCs/>
          <w:i/>
          <w:color w:val="000000"/>
          <w:sz w:val="24"/>
          <w:szCs w:val="24"/>
        </w:rPr>
        <w:t>22 417 142,26 +6 077 460,0)</w:t>
      </w:r>
      <w:r w:rsidRPr="00555723">
        <w:rPr>
          <w:i/>
          <w:color w:val="000000"/>
          <w:sz w:val="24"/>
          <w:szCs w:val="24"/>
        </w:rPr>
        <w:t xml:space="preserve"> или 2,57%),</w:t>
      </w:r>
      <w:r w:rsidRPr="00555723">
        <w:rPr>
          <w:color w:val="000000"/>
          <w:sz w:val="28"/>
          <w:szCs w:val="28"/>
        </w:rPr>
        <w:t xml:space="preserve"> не менее чем на 1 %, но не более чем на 10 % и на сумму, превышающую один миллион рублей, таким образом, в действиях должностных лиц администрации района содержится состав административного правонарушения, предусмотренного частью 4 статьи 15.15.6 КоАП РФ, выразившегося в грубом нарушении требований к бюджетному (бухгалтерскому) учету.</w:t>
      </w:r>
    </w:p>
    <w:p w:rsidR="00555723" w:rsidRPr="00555723" w:rsidRDefault="00555723" w:rsidP="00555723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 w:rsidRPr="00555723">
        <w:rPr>
          <w:color w:val="000000"/>
          <w:sz w:val="28"/>
          <w:szCs w:val="28"/>
        </w:rPr>
        <w:t xml:space="preserve">2.2. Пятью главными распорядителями бюджетных средств (отделом культуры, отделом строительства, управлением образования, отделом по физической культуре и спорту) </w:t>
      </w:r>
      <w:r w:rsidRPr="00555723">
        <w:rPr>
          <w:sz w:val="28"/>
          <w:szCs w:val="28"/>
        </w:rPr>
        <w:t>допущено нарушение ч. 6 ст. 16 Закона № 44-ФЗ</w:t>
      </w:r>
      <w:r w:rsidRPr="00555723">
        <w:rPr>
          <w:sz w:val="28"/>
          <w:szCs w:val="28"/>
          <w:vertAlign w:val="superscript"/>
        </w:rPr>
        <w:footnoteReference w:id="4"/>
      </w:r>
      <w:r w:rsidRPr="00555723">
        <w:rPr>
          <w:sz w:val="28"/>
          <w:szCs w:val="28"/>
        </w:rPr>
        <w:t>, выразившееся в нарушении десяти дневного срока после доведения лимитов бюджетных обязательств  утверждения и размещения плана-графика закупок на 2022 год (от 13 до 35  рабочих дней). Указанное нарушение содержит признаки административного правонарушения, предусмотренного ч. 4 ст. 7.29.3 КоАП: «Нарушение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 - влечет наложение административного штрафа на должностных лиц в размере от пяти тысяч до тридцати тысяч рублей».</w:t>
      </w:r>
    </w:p>
    <w:p w:rsidR="00555723" w:rsidRPr="00555723" w:rsidRDefault="00555723" w:rsidP="00555723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 w:rsidRPr="00555723">
        <w:rPr>
          <w:sz w:val="28"/>
          <w:szCs w:val="28"/>
        </w:rPr>
        <w:t>Согласно ч. 1 ст. 4.5 КоАП РФ постановление по делу об административном правонарушении не может быть вынесено за нарушение законодательства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7.29 - 7.32) по истечении одного года со дня совершения административного правонарушения.</w:t>
      </w:r>
    </w:p>
    <w:p w:rsidR="00555723" w:rsidRPr="00555723" w:rsidRDefault="00555723" w:rsidP="00555723">
      <w:pPr>
        <w:ind w:firstLine="567"/>
        <w:jc w:val="both"/>
        <w:rPr>
          <w:sz w:val="28"/>
          <w:szCs w:val="28"/>
        </w:rPr>
      </w:pPr>
      <w:r w:rsidRPr="00555723">
        <w:rPr>
          <w:sz w:val="28"/>
          <w:szCs w:val="28"/>
        </w:rPr>
        <w:t xml:space="preserve">2.3. Отделом по физической культуре и спорту допущено нарушение части 2 ст. 72 БК РФ, статьи 16 Федерального закона № 44-ФЗ выразившееся в заключении контрактов на сумму 4 830,7 тыс.руб. не в соответствии с планом-графиком закупок товаров, работ, услуг сформированным и утверждённым на 2022 год. </w:t>
      </w:r>
    </w:p>
    <w:p w:rsidR="00555723" w:rsidRDefault="00555723" w:rsidP="0055572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55723">
        <w:rPr>
          <w:sz w:val="28"/>
          <w:szCs w:val="28"/>
        </w:rPr>
        <w:t>2.4. Всеми</w:t>
      </w:r>
      <w:r w:rsidRPr="00555723">
        <w:rPr>
          <w:color w:val="000000"/>
          <w:sz w:val="28"/>
          <w:szCs w:val="28"/>
        </w:rPr>
        <w:t xml:space="preserve"> главными распорядителями бюджетных средств допущено нарушение пункта 155 Инструкции № 191н Сведения об исполнении текстовых статей закона (решения) о бюджете (Таблица № 3 к Пояснительной записке) не представлена и не раскрыта информация, характеризующая результаты анализа исполнения текстовых статей решения о бюджете, имеющих отношение к деятельности субъектов бюджетной отчетности (11 фактов).</w:t>
      </w:r>
    </w:p>
    <w:p w:rsidR="000E143D" w:rsidRDefault="000E143D" w:rsidP="0055572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E143D">
        <w:rPr>
          <w:color w:val="000000"/>
          <w:sz w:val="28"/>
          <w:szCs w:val="28"/>
        </w:rPr>
        <w:t>2.5. Отделом строительства администрации муниципального образования Тимашевский район</w:t>
      </w:r>
      <w:r>
        <w:rPr>
          <w:color w:val="000000"/>
          <w:sz w:val="28"/>
          <w:szCs w:val="28"/>
        </w:rPr>
        <w:t xml:space="preserve"> допущено нарушение:</w:t>
      </w:r>
    </w:p>
    <w:p w:rsidR="000E143D" w:rsidRDefault="000E143D" w:rsidP="000E143D">
      <w:pPr>
        <w:ind w:firstLine="567"/>
        <w:jc w:val="both"/>
        <w:rPr>
          <w:bCs/>
          <w:sz w:val="28"/>
          <w:szCs w:val="28"/>
          <w:lang w:eastAsia="x-none"/>
        </w:rPr>
      </w:pPr>
      <w:r w:rsidRPr="001F39CA">
        <w:rPr>
          <w:bCs/>
          <w:sz w:val="28"/>
          <w:szCs w:val="28"/>
          <w:lang w:eastAsia="x-none"/>
        </w:rPr>
        <w:t>части 1 статьи 13 Федерального закона № 402-ФЗ, абзаца четвертого пункта 71 Инструкции 191н, абзаца четвертого пункта 308 Инструкции № 157н, пункта 141.1 Инструкции № 162н, выразившиеся в несоблюдении порядка бюджетного учета санкционирования расходов экономических субъектов в части принимаемых обязательств (счет 1 502 17 000), что привело к несопоставимости показателей Отчета (ф. 0503128) субъектов учета по состоянию на 01.01.2023 данным регистров их бюджетного учета на сумму 38541,4 тыс. рублей</w:t>
      </w:r>
      <w:r>
        <w:rPr>
          <w:bCs/>
          <w:sz w:val="28"/>
          <w:szCs w:val="28"/>
          <w:lang w:eastAsia="x-none"/>
        </w:rPr>
        <w:t>.</w:t>
      </w:r>
    </w:p>
    <w:p w:rsidR="000E143D" w:rsidRDefault="00673189" w:rsidP="00555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Pr="00673189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673189">
        <w:rPr>
          <w:sz w:val="28"/>
          <w:szCs w:val="28"/>
        </w:rPr>
        <w:t xml:space="preserve"> образования администрации муниципального образования Тимашевский район</w:t>
      </w:r>
      <w:r>
        <w:rPr>
          <w:sz w:val="28"/>
          <w:szCs w:val="28"/>
        </w:rPr>
        <w:t xml:space="preserve"> допущено нарушение:</w:t>
      </w:r>
    </w:p>
    <w:p w:rsidR="00426EE0" w:rsidRPr="00426EE0" w:rsidRDefault="00426EE0" w:rsidP="00426EE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x-none" w:eastAsia="x-none"/>
        </w:rPr>
      </w:pPr>
      <w:r w:rsidRPr="00426EE0">
        <w:rPr>
          <w:bCs/>
          <w:sz w:val="28"/>
          <w:szCs w:val="28"/>
          <w:lang w:val="x-none" w:eastAsia="x-none"/>
        </w:rPr>
        <w:t xml:space="preserve">части 1 статьи 13 Федерального закона № 402-ФЗ, абзаца четвертого пункта 71 Инструкции 191н, абзаца четвертого пункта 308 Инструкции № 157н, пункта 141.1 Инструкции № 162н, выразившиеся в несоблюдении ею порядка бюджетного учета санкционирования расходов экономических субъектов в части принимаемых обязательств (счет 1 502 17 000), что привело к несопоставимости показателей Отчета (ф. 0503128) субъектов учета по состоянию на 01.01.2023 данным регистров их бюджетного учета на сумму </w:t>
      </w:r>
      <w:r w:rsidRPr="00426EE0">
        <w:rPr>
          <w:bCs/>
          <w:sz w:val="28"/>
          <w:szCs w:val="28"/>
          <w:lang w:eastAsia="x-none"/>
        </w:rPr>
        <w:t>6,6</w:t>
      </w:r>
      <w:r w:rsidRPr="00426EE0">
        <w:rPr>
          <w:bCs/>
          <w:sz w:val="28"/>
          <w:szCs w:val="28"/>
          <w:lang w:val="x-none" w:eastAsia="x-none"/>
        </w:rPr>
        <w:t xml:space="preserve"> тыс. рублей.</w:t>
      </w:r>
    </w:p>
    <w:p w:rsidR="00886B0F" w:rsidRDefault="00886B0F" w:rsidP="004B7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7E71" w:rsidRPr="000C73D3" w:rsidRDefault="00E87E71" w:rsidP="004B7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E87E71" w:rsidRDefault="00E87E71" w:rsidP="00E87E71">
      <w:pPr>
        <w:ind w:firstLine="708"/>
        <w:jc w:val="both"/>
        <w:rPr>
          <w:sz w:val="28"/>
          <w:szCs w:val="28"/>
        </w:rPr>
      </w:pPr>
    </w:p>
    <w:p w:rsidR="009C4BCC" w:rsidRPr="009C4BCC" w:rsidRDefault="009C4BCC" w:rsidP="009C4BCC">
      <w:pPr>
        <w:numPr>
          <w:ilvl w:val="0"/>
          <w:numId w:val="35"/>
        </w:numPr>
        <w:ind w:left="0" w:firstLine="567"/>
        <w:jc w:val="both"/>
        <w:rPr>
          <w:sz w:val="28"/>
          <w:szCs w:val="28"/>
        </w:rPr>
      </w:pPr>
      <w:r w:rsidRPr="009C4BCC">
        <w:rPr>
          <w:sz w:val="28"/>
          <w:szCs w:val="28"/>
        </w:rPr>
        <w:t>Администрации муниципального образования Тимашевский район:</w:t>
      </w:r>
    </w:p>
    <w:p w:rsidR="0051475A" w:rsidRDefault="0051475A" w:rsidP="000634A8">
      <w:pPr>
        <w:ind w:firstLine="567"/>
        <w:jc w:val="both"/>
        <w:rPr>
          <w:sz w:val="28"/>
          <w:szCs w:val="28"/>
        </w:rPr>
      </w:pPr>
      <w:r w:rsidRPr="0051475A">
        <w:rPr>
          <w:sz w:val="28"/>
          <w:szCs w:val="28"/>
        </w:rPr>
        <w:t xml:space="preserve">усилить </w:t>
      </w:r>
      <w:r w:rsidR="008071FE" w:rsidRPr="0051475A">
        <w:rPr>
          <w:sz w:val="28"/>
          <w:szCs w:val="28"/>
        </w:rPr>
        <w:t>внутренний финансовый аудит,</w:t>
      </w:r>
      <w:r w:rsidR="008071FE" w:rsidRPr="008071FE">
        <w:rPr>
          <w:color w:val="000000"/>
          <w:sz w:val="28"/>
          <w:szCs w:val="28"/>
        </w:rPr>
        <w:t xml:space="preserve"> предусмотренный статьей 160.2-1 БК РФ</w:t>
      </w:r>
      <w:r w:rsidRPr="0051475A">
        <w:rPr>
          <w:sz w:val="28"/>
          <w:szCs w:val="28"/>
        </w:rPr>
        <w:t>, направленный на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пунктом 5 статьи 264.1 БК РФ;</w:t>
      </w:r>
    </w:p>
    <w:p w:rsidR="008071FE" w:rsidRPr="008071FE" w:rsidRDefault="009C4BCC" w:rsidP="000634A8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C4BCC">
        <w:rPr>
          <w:sz w:val="28"/>
          <w:szCs w:val="28"/>
        </w:rPr>
        <w:t>2. Муниципальному казенному учреждению «Централизованная межотраслевая бухгалтерия» муниципального образования Тимашевский район</w:t>
      </w:r>
      <w:r w:rsidR="008071FE">
        <w:rPr>
          <w:sz w:val="28"/>
          <w:szCs w:val="28"/>
        </w:rPr>
        <w:t xml:space="preserve"> и</w:t>
      </w:r>
      <w:r w:rsidR="008071FE" w:rsidRPr="008071FE">
        <w:rPr>
          <w:color w:val="000000"/>
          <w:sz w:val="28"/>
          <w:szCs w:val="28"/>
        </w:rPr>
        <w:t xml:space="preserve"> отделу земельных и имущественных отношений администрации муниципального образования Тимашевский район (совместно):</w:t>
      </w:r>
    </w:p>
    <w:p w:rsidR="008071FE" w:rsidRPr="008071FE" w:rsidRDefault="008071FE" w:rsidP="000634A8">
      <w:pPr>
        <w:suppressAutoHyphens/>
        <w:spacing w:before="40"/>
        <w:ind w:firstLine="567"/>
        <w:jc w:val="both"/>
        <w:rPr>
          <w:i/>
          <w:sz w:val="24"/>
          <w:szCs w:val="24"/>
        </w:rPr>
      </w:pPr>
      <w:r w:rsidRPr="008071FE">
        <w:rPr>
          <w:color w:val="000000"/>
          <w:sz w:val="28"/>
          <w:szCs w:val="28"/>
        </w:rPr>
        <w:t xml:space="preserve">провести в 2023 году инвентаризацию непроизведенных активов </w:t>
      </w:r>
      <w:r w:rsidRPr="008071FE">
        <w:rPr>
          <w:i/>
          <w:color w:val="000000"/>
          <w:sz w:val="24"/>
          <w:szCs w:val="24"/>
        </w:rPr>
        <w:t>(земельных участков)</w:t>
      </w:r>
      <w:r w:rsidRPr="008071FE">
        <w:rPr>
          <w:color w:val="000000"/>
          <w:sz w:val="28"/>
          <w:szCs w:val="28"/>
        </w:rPr>
        <w:t xml:space="preserve">, обеспечивающую достоверность данных бюджетного учета и бюджетной отчетности </w:t>
      </w:r>
      <w:r w:rsidRPr="008071FE">
        <w:rPr>
          <w:i/>
          <w:color w:val="000000"/>
          <w:sz w:val="24"/>
          <w:szCs w:val="24"/>
        </w:rPr>
        <w:t xml:space="preserve">(отражение в бюджетном учете и бюджетной отчетности информации, </w:t>
      </w:r>
      <w:r w:rsidRPr="008071FE">
        <w:rPr>
          <w:i/>
          <w:sz w:val="24"/>
          <w:szCs w:val="24"/>
        </w:rPr>
        <w:t>не содержащей существенных ошибок и искажений, позволяющей ее пользователям положиться на нее, как на правдивую</w:t>
      </w:r>
      <w:r w:rsidRPr="008071FE">
        <w:rPr>
          <w:i/>
          <w:sz w:val="24"/>
          <w:szCs w:val="24"/>
          <w:vertAlign w:val="superscript"/>
        </w:rPr>
        <w:footnoteReference w:id="5"/>
      </w:r>
      <w:r w:rsidRPr="008071FE">
        <w:rPr>
          <w:i/>
          <w:sz w:val="24"/>
          <w:szCs w:val="24"/>
        </w:rPr>
        <w:t>);</w:t>
      </w:r>
    </w:p>
    <w:p w:rsidR="000634A8" w:rsidRDefault="008071FE" w:rsidP="000634A8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071FE">
        <w:rPr>
          <w:color w:val="000000"/>
          <w:sz w:val="28"/>
          <w:szCs w:val="28"/>
        </w:rPr>
        <w:t>обеспечить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консолидированной отчетности Сведений об изменении остатков валюты баланса (ф. 0503173), в которых отразить информацию об исправлении субъектом учета ошибок прошлых лет с кодом причины изменения вступительного баланса «07» –исправление ошибок прошлых лет по результатам внешнего (внутреннего) государственного (муниципального) контроля</w:t>
      </w:r>
      <w:r w:rsidR="00193DCF" w:rsidRPr="008071FE">
        <w:rPr>
          <w:color w:val="000000"/>
          <w:sz w:val="28"/>
          <w:szCs w:val="28"/>
        </w:rPr>
        <w:t>;</w:t>
      </w:r>
    </w:p>
    <w:p w:rsidR="001E2498" w:rsidRPr="000634A8" w:rsidRDefault="001E2498" w:rsidP="000634A8">
      <w:pPr>
        <w:pStyle w:val="afc"/>
        <w:numPr>
          <w:ilvl w:val="0"/>
          <w:numId w:val="39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634A8">
        <w:rPr>
          <w:sz w:val="28"/>
          <w:szCs w:val="28"/>
        </w:rPr>
        <w:t>Отделу по физической культуре и спорту:</w:t>
      </w:r>
    </w:p>
    <w:p w:rsidR="001E2498" w:rsidRDefault="001E2498" w:rsidP="000634A8">
      <w:pPr>
        <w:pStyle w:val="af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Усилить контроль за своевременным и полным размещением информации и документов на официальном сайте ЕИС (zakupki.gov.ru)</w:t>
      </w:r>
      <w:r>
        <w:rPr>
          <w:sz w:val="28"/>
          <w:szCs w:val="28"/>
        </w:rPr>
        <w:t>;</w:t>
      </w:r>
    </w:p>
    <w:p w:rsidR="001E2498" w:rsidRDefault="002E7F5F" w:rsidP="000634A8">
      <w:pPr>
        <w:pStyle w:val="af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Заключать контракты с соблюдением требований, установленных </w:t>
      </w:r>
      <w:r w:rsidRPr="002E7F5F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Pr="002E7F5F">
        <w:rPr>
          <w:sz w:val="28"/>
          <w:szCs w:val="28"/>
        </w:rPr>
        <w:t xml:space="preserve"> 2 ст. 72 БК РФ</w:t>
      </w:r>
      <w:r>
        <w:rPr>
          <w:sz w:val="28"/>
          <w:szCs w:val="28"/>
        </w:rPr>
        <w:t xml:space="preserve"> и</w:t>
      </w:r>
      <w:r w:rsidRPr="002E7F5F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2E7F5F">
        <w:rPr>
          <w:sz w:val="28"/>
          <w:szCs w:val="28"/>
        </w:rPr>
        <w:t xml:space="preserve"> 16 Федерального закона № 44-ФЗ</w:t>
      </w:r>
      <w:r>
        <w:rPr>
          <w:sz w:val="28"/>
          <w:szCs w:val="28"/>
        </w:rPr>
        <w:t>;</w:t>
      </w:r>
    </w:p>
    <w:p w:rsidR="00417906" w:rsidRDefault="00417906" w:rsidP="000634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17906" w:rsidRDefault="00417906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17906" w:rsidSect="00185AF0">
      <w:footerReference w:type="default" r:id="rId9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3C" w:rsidRDefault="00DF163C" w:rsidP="00D834BE">
      <w:r>
        <w:separator/>
      </w:r>
    </w:p>
  </w:endnote>
  <w:endnote w:type="continuationSeparator" w:id="0">
    <w:p w:rsidR="00DF163C" w:rsidRDefault="00DF163C" w:rsidP="00D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61187"/>
      <w:docPartObj>
        <w:docPartGallery w:val="Page Numbers (Bottom of Page)"/>
        <w:docPartUnique/>
      </w:docPartObj>
    </w:sdtPr>
    <w:sdtEndPr/>
    <w:sdtContent>
      <w:p w:rsidR="00185AF0" w:rsidRDefault="00185AF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C0">
          <w:rPr>
            <w:noProof/>
          </w:rPr>
          <w:t>6</w:t>
        </w:r>
        <w:r>
          <w:fldChar w:fldCharType="end"/>
        </w:r>
      </w:p>
    </w:sdtContent>
  </w:sdt>
  <w:p w:rsidR="00D834BE" w:rsidRDefault="00D834B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3C" w:rsidRDefault="00DF163C" w:rsidP="00D834BE">
      <w:r>
        <w:separator/>
      </w:r>
    </w:p>
  </w:footnote>
  <w:footnote w:type="continuationSeparator" w:id="0">
    <w:p w:rsidR="00DF163C" w:rsidRDefault="00DF163C" w:rsidP="00D834BE">
      <w:r>
        <w:continuationSeparator/>
      </w:r>
    </w:p>
  </w:footnote>
  <w:footnote w:id="1">
    <w:p w:rsidR="00D90620" w:rsidRPr="00D90620" w:rsidRDefault="00D90620" w:rsidP="00D90620">
      <w:pPr>
        <w:pStyle w:val="ab"/>
        <w:suppressAutoHyphens/>
        <w:jc w:val="both"/>
      </w:pPr>
      <w:r>
        <w:rPr>
          <w:rStyle w:val="ad"/>
        </w:rPr>
        <w:footnoteRef/>
      </w:r>
      <w:r>
        <w:t xml:space="preserve"> </w:t>
      </w:r>
      <w:r w:rsidRPr="00D90620">
        <w:t xml:space="preserve">Постановление администрации муниципального образования Тимашевский район от 19.11.2021 № 1582 </w:t>
      </w:r>
      <w:r w:rsidRPr="00D90620">
        <w:br/>
        <w:t xml:space="preserve">«Об отверждении перечня главных администраторов доходов и источников финансирования дефицита бюджета муниципального образования Тимашевский район на 2022 год и плановый период 2023 и 2024 годов» </w:t>
      </w:r>
    </w:p>
    <w:p w:rsidR="00D90620" w:rsidRDefault="00D90620">
      <w:pPr>
        <w:pStyle w:val="ab"/>
      </w:pPr>
    </w:p>
  </w:footnote>
  <w:footnote w:id="2">
    <w:p w:rsidR="00555723" w:rsidRPr="003B3A3A" w:rsidRDefault="00555723" w:rsidP="00555723">
      <w:pPr>
        <w:pStyle w:val="ab"/>
        <w:jc w:val="both"/>
        <w:rPr>
          <w:color w:val="000000"/>
        </w:rPr>
      </w:pPr>
      <w:r w:rsidRPr="003B3A3A">
        <w:rPr>
          <w:rStyle w:val="ad"/>
          <w:color w:val="000000"/>
        </w:rPr>
        <w:footnoteRef/>
      </w:r>
      <w:r w:rsidRPr="003B3A3A">
        <w:rPr>
          <w:color w:val="000000"/>
        </w:rPr>
        <w:t xml:space="preserve"> </w:t>
      </w:r>
      <w:r>
        <w:rPr>
          <w:color w:val="000000"/>
        </w:rPr>
        <w:t xml:space="preserve">Постановление </w:t>
      </w:r>
      <w:r w:rsidRPr="003B3A3A">
        <w:rPr>
          <w:color w:val="000000"/>
        </w:rPr>
        <w:t xml:space="preserve">администрации муниципального образования </w:t>
      </w:r>
      <w:r>
        <w:rPr>
          <w:color w:val="000000"/>
        </w:rPr>
        <w:t xml:space="preserve">Тимашевский </w:t>
      </w:r>
      <w:r w:rsidRPr="003B3A3A">
        <w:rPr>
          <w:color w:val="000000"/>
        </w:rPr>
        <w:t xml:space="preserve">район от </w:t>
      </w:r>
      <w:r>
        <w:rPr>
          <w:color w:val="000000"/>
        </w:rPr>
        <w:t>27</w:t>
      </w:r>
      <w:r w:rsidRPr="003B3A3A">
        <w:rPr>
          <w:color w:val="000000"/>
        </w:rPr>
        <w:t>.1</w:t>
      </w:r>
      <w:r>
        <w:rPr>
          <w:color w:val="000000"/>
        </w:rPr>
        <w:t>0</w:t>
      </w:r>
      <w:r w:rsidRPr="003B3A3A">
        <w:rPr>
          <w:color w:val="000000"/>
        </w:rPr>
        <w:t>.202</w:t>
      </w:r>
      <w:r>
        <w:rPr>
          <w:color w:val="000000"/>
        </w:rPr>
        <w:t>2</w:t>
      </w:r>
      <w:r w:rsidRPr="003B3A3A">
        <w:rPr>
          <w:color w:val="000000"/>
        </w:rPr>
        <w:t xml:space="preserve"> № </w:t>
      </w:r>
      <w:r>
        <w:rPr>
          <w:color w:val="000000"/>
        </w:rPr>
        <w:t>1663</w:t>
      </w:r>
      <w:r w:rsidRPr="003B3A3A">
        <w:rPr>
          <w:color w:val="000000"/>
        </w:rPr>
        <w:t xml:space="preserve">-р </w:t>
      </w:r>
      <w:r w:rsidRPr="003B3A3A">
        <w:rPr>
          <w:color w:val="000000"/>
        </w:rPr>
        <w:br/>
        <w:t>«О проведении инвентаризации</w:t>
      </w:r>
      <w:r>
        <w:rPr>
          <w:color w:val="000000"/>
        </w:rPr>
        <w:t>»</w:t>
      </w:r>
      <w:r w:rsidRPr="003B3A3A">
        <w:rPr>
          <w:color w:val="000000"/>
        </w:rPr>
        <w:t xml:space="preserve"> </w:t>
      </w:r>
      <w:r>
        <w:rPr>
          <w:color w:val="000000"/>
        </w:rPr>
        <w:t xml:space="preserve">  </w:t>
      </w:r>
    </w:p>
  </w:footnote>
  <w:footnote w:id="3">
    <w:p w:rsidR="00555723" w:rsidRDefault="00555723" w:rsidP="00555723">
      <w:pPr>
        <w:pStyle w:val="ab"/>
      </w:pPr>
      <w:r>
        <w:rPr>
          <w:rStyle w:val="ad"/>
        </w:rPr>
        <w:footnoteRef/>
      </w:r>
      <w:r>
        <w:t xml:space="preserve"> В количестве 3208 объектов балансовой стоимостью 1 560 396,1 тыс. рублей. </w:t>
      </w:r>
    </w:p>
  </w:footnote>
  <w:footnote w:id="4">
    <w:p w:rsidR="00555723" w:rsidRDefault="00555723" w:rsidP="00555723">
      <w:pPr>
        <w:pStyle w:val="ab"/>
      </w:pPr>
      <w:r>
        <w:rPr>
          <w:rStyle w:val="ad"/>
        </w:rPr>
        <w:footnoteRef/>
      </w:r>
      <w:r>
        <w:t xml:space="preserve"> </w:t>
      </w:r>
      <w:r w:rsidRPr="00687D9D">
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</w:r>
    </w:p>
  </w:footnote>
  <w:footnote w:id="5">
    <w:p w:rsidR="008071FE" w:rsidRDefault="008071FE" w:rsidP="008071FE">
      <w:pPr>
        <w:pStyle w:val="ab"/>
        <w:suppressAutoHyphens/>
        <w:jc w:val="both"/>
      </w:pPr>
      <w:r>
        <w:rPr>
          <w:rStyle w:val="ad"/>
        </w:rPr>
        <w:footnoteRef/>
      </w:r>
      <w:r>
        <w:t xml:space="preserve"> Абзац двенадцатый пункта 3 </w:t>
      </w:r>
      <w:r w:rsidRPr="00E74C83">
        <w:t xml:space="preserve">Инструкции по применению Единого плана счетов бухгалтерского учета </w:t>
      </w:r>
      <w:r>
        <w:br/>
      </w:r>
      <w:r w:rsidRPr="00E74C83">
        <w:t xml:space="preserve">для органов государственной власти (государственных органов), органов местного самоуправления, </w:t>
      </w:r>
      <w:r>
        <w:br/>
      </w:r>
      <w:r w:rsidRPr="00E74C83">
        <w:t xml:space="preserve">органов управления государственными внебюджетными фондами, государственных академий </w:t>
      </w:r>
      <w:r>
        <w:br/>
      </w:r>
      <w:r w:rsidRPr="00E74C83">
        <w:t xml:space="preserve">наук, государственных (муниципальных) учреждений, утвержденной приказом Минфина России </w:t>
      </w:r>
      <w:r>
        <w:br/>
      </w:r>
      <w:r w:rsidRPr="00E74C83">
        <w:t>от 01.12.2010 № 157н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23565"/>
    <w:multiLevelType w:val="hybridMultilevel"/>
    <w:tmpl w:val="4C9460F4"/>
    <w:lvl w:ilvl="0" w:tplc="BDEC9F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6C59C6"/>
    <w:multiLevelType w:val="hybridMultilevel"/>
    <w:tmpl w:val="75027142"/>
    <w:lvl w:ilvl="0" w:tplc="9BBCF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070C6"/>
    <w:multiLevelType w:val="hybridMultilevel"/>
    <w:tmpl w:val="71E2594C"/>
    <w:lvl w:ilvl="0" w:tplc="8CAE98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446D7D"/>
    <w:multiLevelType w:val="hybridMultilevel"/>
    <w:tmpl w:val="CC1A924C"/>
    <w:lvl w:ilvl="0" w:tplc="DAC43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D87A30"/>
    <w:multiLevelType w:val="hybridMultilevel"/>
    <w:tmpl w:val="72663268"/>
    <w:lvl w:ilvl="0" w:tplc="F12834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6159FA"/>
    <w:multiLevelType w:val="hybridMultilevel"/>
    <w:tmpl w:val="1DE8C648"/>
    <w:lvl w:ilvl="0" w:tplc="3D1E225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3B6A1E"/>
    <w:multiLevelType w:val="hybridMultilevel"/>
    <w:tmpl w:val="9FF60E6C"/>
    <w:lvl w:ilvl="0" w:tplc="243C76E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5"/>
  </w:num>
  <w:num w:numId="5">
    <w:abstractNumId w:val="7"/>
  </w:num>
  <w:num w:numId="6">
    <w:abstractNumId w:val="17"/>
  </w:num>
  <w:num w:numId="7">
    <w:abstractNumId w:val="38"/>
  </w:num>
  <w:num w:numId="8">
    <w:abstractNumId w:val="30"/>
  </w:num>
  <w:num w:numId="9">
    <w:abstractNumId w:val="21"/>
  </w:num>
  <w:num w:numId="10">
    <w:abstractNumId w:val="31"/>
  </w:num>
  <w:num w:numId="11">
    <w:abstractNumId w:val="26"/>
  </w:num>
  <w:num w:numId="12">
    <w:abstractNumId w:val="2"/>
  </w:num>
  <w:num w:numId="13">
    <w:abstractNumId w:val="32"/>
  </w:num>
  <w:num w:numId="14">
    <w:abstractNumId w:val="25"/>
  </w:num>
  <w:num w:numId="15">
    <w:abstractNumId w:val="11"/>
  </w:num>
  <w:num w:numId="16">
    <w:abstractNumId w:val="12"/>
  </w:num>
  <w:num w:numId="17">
    <w:abstractNumId w:val="28"/>
  </w:num>
  <w:num w:numId="18">
    <w:abstractNumId w:val="35"/>
  </w:num>
  <w:num w:numId="19">
    <w:abstractNumId w:val="18"/>
  </w:num>
  <w:num w:numId="20">
    <w:abstractNumId w:val="8"/>
  </w:num>
  <w:num w:numId="21">
    <w:abstractNumId w:val="37"/>
  </w:num>
  <w:num w:numId="22">
    <w:abstractNumId w:val="0"/>
  </w:num>
  <w:num w:numId="23">
    <w:abstractNumId w:val="29"/>
  </w:num>
  <w:num w:numId="24">
    <w:abstractNumId w:val="24"/>
  </w:num>
  <w:num w:numId="25">
    <w:abstractNumId w:val="10"/>
  </w:num>
  <w:num w:numId="26">
    <w:abstractNumId w:val="36"/>
  </w:num>
  <w:num w:numId="27">
    <w:abstractNumId w:val="23"/>
  </w:num>
  <w:num w:numId="28">
    <w:abstractNumId w:val="33"/>
  </w:num>
  <w:num w:numId="29">
    <w:abstractNumId w:val="1"/>
  </w:num>
  <w:num w:numId="30">
    <w:abstractNumId w:val="14"/>
  </w:num>
  <w:num w:numId="31">
    <w:abstractNumId w:val="22"/>
  </w:num>
  <w:num w:numId="32">
    <w:abstractNumId w:val="16"/>
  </w:num>
  <w:num w:numId="33">
    <w:abstractNumId w:val="27"/>
  </w:num>
  <w:num w:numId="34">
    <w:abstractNumId w:val="4"/>
  </w:num>
  <w:num w:numId="35">
    <w:abstractNumId w:val="13"/>
  </w:num>
  <w:num w:numId="36">
    <w:abstractNumId w:val="34"/>
  </w:num>
  <w:num w:numId="37">
    <w:abstractNumId w:val="9"/>
  </w:num>
  <w:num w:numId="38">
    <w:abstractNumId w:val="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14CE6"/>
    <w:rsid w:val="000634A8"/>
    <w:rsid w:val="000D20CA"/>
    <w:rsid w:val="000D52B3"/>
    <w:rsid w:val="000E143D"/>
    <w:rsid w:val="000F4358"/>
    <w:rsid w:val="00164CEB"/>
    <w:rsid w:val="00185AF0"/>
    <w:rsid w:val="00193DCF"/>
    <w:rsid w:val="001B77CF"/>
    <w:rsid w:val="001D0E12"/>
    <w:rsid w:val="001E2498"/>
    <w:rsid w:val="001E3F16"/>
    <w:rsid w:val="002055C9"/>
    <w:rsid w:val="002A0EB4"/>
    <w:rsid w:val="002C2FE1"/>
    <w:rsid w:val="002E4451"/>
    <w:rsid w:val="002E7F5F"/>
    <w:rsid w:val="002F5E45"/>
    <w:rsid w:val="003142D8"/>
    <w:rsid w:val="00400DA3"/>
    <w:rsid w:val="00417906"/>
    <w:rsid w:val="00426EE0"/>
    <w:rsid w:val="00444EFE"/>
    <w:rsid w:val="00466EAA"/>
    <w:rsid w:val="004A7D3D"/>
    <w:rsid w:val="004B23E6"/>
    <w:rsid w:val="004B7841"/>
    <w:rsid w:val="004E03D9"/>
    <w:rsid w:val="004E3D20"/>
    <w:rsid w:val="0051475A"/>
    <w:rsid w:val="005520E2"/>
    <w:rsid w:val="00555723"/>
    <w:rsid w:val="00564EC0"/>
    <w:rsid w:val="00586DC4"/>
    <w:rsid w:val="005F222A"/>
    <w:rsid w:val="005F6089"/>
    <w:rsid w:val="00633098"/>
    <w:rsid w:val="00665E51"/>
    <w:rsid w:val="00673189"/>
    <w:rsid w:val="00691021"/>
    <w:rsid w:val="006C02E1"/>
    <w:rsid w:val="00703D13"/>
    <w:rsid w:val="007A69CA"/>
    <w:rsid w:val="007B26B1"/>
    <w:rsid w:val="007B43AE"/>
    <w:rsid w:val="007C4FF5"/>
    <w:rsid w:val="007F31F7"/>
    <w:rsid w:val="008071FE"/>
    <w:rsid w:val="00886B0F"/>
    <w:rsid w:val="00897AF7"/>
    <w:rsid w:val="008A0F81"/>
    <w:rsid w:val="009633A2"/>
    <w:rsid w:val="009B6F8A"/>
    <w:rsid w:val="009C0FA6"/>
    <w:rsid w:val="009C122F"/>
    <w:rsid w:val="009C1A1B"/>
    <w:rsid w:val="009C4BCC"/>
    <w:rsid w:val="00B92975"/>
    <w:rsid w:val="00BD163E"/>
    <w:rsid w:val="00C72304"/>
    <w:rsid w:val="00D04B03"/>
    <w:rsid w:val="00D834BE"/>
    <w:rsid w:val="00D90620"/>
    <w:rsid w:val="00DC71F5"/>
    <w:rsid w:val="00DD3BD7"/>
    <w:rsid w:val="00DE0B5C"/>
    <w:rsid w:val="00DF163C"/>
    <w:rsid w:val="00E61595"/>
    <w:rsid w:val="00E85058"/>
    <w:rsid w:val="00E87E71"/>
    <w:rsid w:val="00F26623"/>
    <w:rsid w:val="00FC3CD8"/>
    <w:rsid w:val="00FE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35E97CA-6B5D-4B7A-A14A-CBFEAC87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qFormat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D834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83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4B784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List Paragraph"/>
    <w:basedOn w:val="a"/>
    <w:uiPriority w:val="34"/>
    <w:qFormat/>
    <w:rsid w:val="009C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732.503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0C45-59E0-49C2-8861-D0370438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2021-04-26T12:14:00Z</cp:lastPrinted>
  <dcterms:created xsi:type="dcterms:W3CDTF">2024-01-10T12:43:00Z</dcterms:created>
  <dcterms:modified xsi:type="dcterms:W3CDTF">2024-01-10T12:43:00Z</dcterms:modified>
</cp:coreProperties>
</file>