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1D" w:rsidRPr="00563A1D" w:rsidRDefault="00033D3E" w:rsidP="00563A1D">
      <w:pPr>
        <w:keepNext/>
        <w:keepLines/>
        <w:tabs>
          <w:tab w:val="left" w:pos="0"/>
          <w:tab w:val="left" w:pos="993"/>
        </w:tabs>
        <w:spacing w:after="0" w:line="240" w:lineRule="auto"/>
        <w:jc w:val="right"/>
        <w:rPr>
          <w:rFonts w:ascii="Times New Roman" w:eastAsia="Times New Roman" w:hAnsi="Times New Roman" w:cs="Times New Roman"/>
          <w:b/>
          <w:i/>
          <w:sz w:val="24"/>
          <w:szCs w:val="24"/>
          <w:lang w:eastAsia="ru-RU"/>
        </w:rPr>
      </w:pPr>
      <w:bookmarkStart w:id="0" w:name="_Toc424284809"/>
      <w:bookmarkStart w:id="1" w:name="sub_1"/>
      <w:r>
        <w:rPr>
          <w:rFonts w:ascii="Times New Roman" w:eastAsia="Times New Roman" w:hAnsi="Times New Roman" w:cs="Times New Roman"/>
          <w:b/>
          <w:i/>
          <w:sz w:val="24"/>
          <w:szCs w:val="24"/>
          <w:lang w:eastAsia="ru-RU"/>
        </w:rPr>
        <w:t>Приложение 4</w:t>
      </w:r>
      <w:bookmarkStart w:id="2" w:name="_GoBack"/>
      <w:bookmarkEnd w:id="2"/>
    </w:p>
    <w:p w:rsidR="00563A1D" w:rsidRDefault="00563A1D" w:rsidP="00563A1D">
      <w:pPr>
        <w:keepNext/>
        <w:keepLines/>
        <w:tabs>
          <w:tab w:val="left" w:pos="0"/>
          <w:tab w:val="left" w:pos="993"/>
        </w:tabs>
        <w:spacing w:after="0" w:line="240" w:lineRule="auto"/>
        <w:jc w:val="right"/>
        <w:rPr>
          <w:rFonts w:ascii="Times New Roman" w:eastAsia="Times New Roman" w:hAnsi="Times New Roman" w:cs="Times New Roman"/>
          <w:b/>
          <w:i/>
          <w:sz w:val="24"/>
          <w:szCs w:val="24"/>
          <w:lang w:eastAsia="ru-RU"/>
        </w:rPr>
      </w:pPr>
      <w:r w:rsidRPr="00563A1D">
        <w:rPr>
          <w:rFonts w:ascii="Times New Roman" w:eastAsia="Times New Roman" w:hAnsi="Times New Roman" w:cs="Times New Roman"/>
          <w:b/>
          <w:i/>
          <w:sz w:val="24"/>
          <w:szCs w:val="24"/>
          <w:lang w:eastAsia="ru-RU"/>
        </w:rPr>
        <w:t xml:space="preserve">к </w:t>
      </w:r>
      <w:r>
        <w:rPr>
          <w:rFonts w:ascii="Times New Roman" w:eastAsia="Times New Roman" w:hAnsi="Times New Roman" w:cs="Times New Roman"/>
          <w:b/>
          <w:i/>
          <w:sz w:val="24"/>
          <w:szCs w:val="24"/>
          <w:lang w:eastAsia="ru-RU"/>
        </w:rPr>
        <w:t>протоколу заседания</w:t>
      </w:r>
    </w:p>
    <w:p w:rsidR="00563A1D" w:rsidRDefault="00563A1D" w:rsidP="00563A1D">
      <w:pPr>
        <w:keepNext/>
        <w:keepLines/>
        <w:tabs>
          <w:tab w:val="left" w:pos="0"/>
          <w:tab w:val="left" w:pos="993"/>
        </w:tabs>
        <w:spacing w:after="0" w:line="240" w:lineRule="auto"/>
        <w:jc w:val="right"/>
        <w:rPr>
          <w:rFonts w:ascii="Times New Roman" w:eastAsia="Times New Roman" w:hAnsi="Times New Roman" w:cs="Times New Roman"/>
          <w:b/>
          <w:i/>
          <w:sz w:val="24"/>
          <w:szCs w:val="24"/>
          <w:lang w:eastAsia="ru-RU"/>
        </w:rPr>
      </w:pPr>
      <w:r w:rsidRPr="00563A1D">
        <w:rPr>
          <w:rFonts w:ascii="Times New Roman" w:eastAsia="Times New Roman" w:hAnsi="Times New Roman" w:cs="Times New Roman"/>
          <w:b/>
          <w:i/>
          <w:sz w:val="24"/>
          <w:szCs w:val="24"/>
          <w:lang w:eastAsia="ru-RU"/>
        </w:rPr>
        <w:t xml:space="preserve">комиссии по координации работы </w:t>
      </w:r>
    </w:p>
    <w:p w:rsidR="00563A1D" w:rsidRDefault="00563A1D" w:rsidP="00563A1D">
      <w:pPr>
        <w:keepNext/>
        <w:keepLines/>
        <w:tabs>
          <w:tab w:val="left" w:pos="0"/>
          <w:tab w:val="left" w:pos="993"/>
        </w:tabs>
        <w:spacing w:after="0" w:line="240" w:lineRule="auto"/>
        <w:jc w:val="right"/>
        <w:rPr>
          <w:rFonts w:ascii="Times New Roman" w:eastAsia="Times New Roman" w:hAnsi="Times New Roman" w:cs="Times New Roman"/>
          <w:b/>
          <w:i/>
          <w:sz w:val="24"/>
          <w:szCs w:val="24"/>
          <w:lang w:eastAsia="ru-RU"/>
        </w:rPr>
      </w:pPr>
      <w:r w:rsidRPr="00563A1D">
        <w:rPr>
          <w:rFonts w:ascii="Times New Roman" w:eastAsia="Times New Roman" w:hAnsi="Times New Roman" w:cs="Times New Roman"/>
          <w:b/>
          <w:i/>
          <w:sz w:val="24"/>
          <w:szCs w:val="24"/>
          <w:lang w:eastAsia="ru-RU"/>
        </w:rPr>
        <w:t xml:space="preserve">по противодействию коррупции </w:t>
      </w:r>
    </w:p>
    <w:p w:rsidR="00563A1D" w:rsidRPr="00563A1D" w:rsidRDefault="00563A1D" w:rsidP="00563A1D">
      <w:pPr>
        <w:keepNext/>
        <w:keepLines/>
        <w:tabs>
          <w:tab w:val="left" w:pos="0"/>
          <w:tab w:val="left" w:pos="993"/>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от 31.03.2019. № 1</w:t>
      </w: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b/>
          <w:sz w:val="24"/>
          <w:szCs w:val="24"/>
          <w:lang w:eastAsia="ru-RU"/>
        </w:rPr>
      </w:pP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b/>
          <w:sz w:val="24"/>
          <w:szCs w:val="24"/>
          <w:lang w:eastAsia="ru-RU"/>
        </w:rPr>
      </w:pPr>
    </w:p>
    <w:p w:rsidR="00563A1D" w:rsidRPr="00563A1D" w:rsidRDefault="00563A1D" w:rsidP="00563A1D">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ПОЛОЖЕНИЕ ОБ АНТИКОРРУПЦИОННОЙ ПОЛИТИКЕ</w:t>
      </w:r>
    </w:p>
    <w:p w:rsidR="00563A1D" w:rsidRPr="00563A1D" w:rsidRDefault="00563A1D" w:rsidP="00563A1D">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p>
    <w:p w:rsidR="00563A1D" w:rsidRPr="00563A1D" w:rsidRDefault="00EF76E2" w:rsidP="00563A1D">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563A1D" w:rsidRPr="00563A1D">
        <w:rPr>
          <w:rFonts w:ascii="Times New Roman" w:eastAsia="Times New Roman" w:hAnsi="Times New Roman" w:cs="Times New Roman"/>
          <w:b/>
          <w:sz w:val="24"/>
          <w:szCs w:val="24"/>
          <w:lang w:eastAsia="ru-RU"/>
        </w:rPr>
        <w:t>униципального казённого учреждения культуры</w:t>
      </w:r>
    </w:p>
    <w:p w:rsidR="00563A1D" w:rsidRPr="00563A1D" w:rsidRDefault="00F561A5" w:rsidP="00563A1D">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561A5">
        <w:rPr>
          <w:rFonts w:ascii="Times New Roman" w:eastAsia="Times New Roman" w:hAnsi="Times New Roman" w:cs="Times New Roman"/>
          <w:b/>
          <w:sz w:val="24"/>
          <w:szCs w:val="24"/>
          <w:lang w:eastAsia="ru-RU"/>
        </w:rPr>
        <w:t>Сурковский</w:t>
      </w:r>
      <w:r w:rsidR="00563A1D" w:rsidRPr="00563A1D">
        <w:rPr>
          <w:rFonts w:ascii="Times New Roman" w:eastAsia="Times New Roman" w:hAnsi="Times New Roman" w:cs="Times New Roman"/>
          <w:b/>
          <w:sz w:val="24"/>
          <w:szCs w:val="24"/>
          <w:lang w:eastAsia="ru-RU"/>
        </w:rPr>
        <w:t xml:space="preserve"> культурно – досуговый центр»</w:t>
      </w:r>
    </w:p>
    <w:p w:rsidR="00563A1D" w:rsidRPr="00563A1D" w:rsidRDefault="00563A1D" w:rsidP="00563A1D">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 xml:space="preserve">(МКУК </w:t>
      </w:r>
      <w:r w:rsidR="00EF76E2">
        <w:rPr>
          <w:rFonts w:ascii="Times New Roman" w:eastAsia="Times New Roman" w:hAnsi="Times New Roman" w:cs="Times New Roman"/>
          <w:b/>
          <w:sz w:val="24"/>
          <w:szCs w:val="24"/>
          <w:lang w:eastAsia="ru-RU"/>
        </w:rPr>
        <w:t>«</w:t>
      </w:r>
      <w:r w:rsidR="00F561A5">
        <w:rPr>
          <w:rFonts w:ascii="Times New Roman" w:eastAsia="Times New Roman" w:hAnsi="Times New Roman" w:cs="Times New Roman"/>
          <w:b/>
          <w:sz w:val="24"/>
          <w:szCs w:val="24"/>
          <w:lang w:eastAsia="ru-RU"/>
        </w:rPr>
        <w:t>Сурковский</w:t>
      </w:r>
      <w:r w:rsidRPr="00563A1D">
        <w:rPr>
          <w:rFonts w:ascii="Times New Roman" w:eastAsia="Times New Roman" w:hAnsi="Times New Roman" w:cs="Times New Roman"/>
          <w:b/>
          <w:sz w:val="24"/>
          <w:szCs w:val="24"/>
          <w:lang w:eastAsia="ru-RU"/>
        </w:rPr>
        <w:t xml:space="preserve"> КДЦ»)</w:t>
      </w:r>
    </w:p>
    <w:p w:rsidR="00563A1D" w:rsidRPr="00563A1D" w:rsidRDefault="00563A1D" w:rsidP="00563A1D">
      <w:pPr>
        <w:keepNext/>
        <w:keepLines/>
        <w:tabs>
          <w:tab w:val="left" w:pos="0"/>
          <w:tab w:val="left" w:pos="993"/>
        </w:tabs>
        <w:spacing w:after="0" w:line="240" w:lineRule="auto"/>
        <w:ind w:left="720"/>
        <w:rPr>
          <w:rFonts w:ascii="Times New Roman" w:eastAsia="Times New Roman" w:hAnsi="Times New Roman" w:cs="Times New Roman"/>
          <w:b/>
          <w:sz w:val="24"/>
          <w:szCs w:val="24"/>
          <w:lang w:eastAsia="ru-RU"/>
        </w:rPr>
      </w:pPr>
    </w:p>
    <w:p w:rsidR="00563A1D" w:rsidRPr="00563A1D" w:rsidRDefault="00563A1D" w:rsidP="00EF76E2">
      <w:pPr>
        <w:keepNext/>
        <w:keepLines/>
        <w:tabs>
          <w:tab w:val="left" w:pos="0"/>
          <w:tab w:val="left" w:pos="993"/>
        </w:tabs>
        <w:spacing w:after="0" w:line="240" w:lineRule="auto"/>
        <w:ind w:left="720"/>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I</w:t>
      </w:r>
      <w:r w:rsidRPr="00563A1D">
        <w:rPr>
          <w:rFonts w:ascii="Times New Roman" w:eastAsia="Times New Roman" w:hAnsi="Times New Roman" w:cs="Times New Roman"/>
          <w:b/>
          <w:sz w:val="24"/>
          <w:szCs w:val="24"/>
          <w:lang w:eastAsia="ru-RU"/>
        </w:rPr>
        <w:t>. Общие положения</w:t>
      </w:r>
    </w:p>
    <w:p w:rsidR="00563A1D" w:rsidRPr="00563A1D" w:rsidRDefault="00563A1D" w:rsidP="00563A1D">
      <w:pPr>
        <w:keepNext/>
        <w:keepLines/>
        <w:tabs>
          <w:tab w:val="left" w:pos="0"/>
          <w:tab w:val="left" w:pos="993"/>
        </w:tabs>
        <w:spacing w:after="0" w:line="240" w:lineRule="auto"/>
        <w:jc w:val="both"/>
        <w:rPr>
          <w:rFonts w:ascii="Times New Roman" w:eastAsia="Times New Roman" w:hAnsi="Times New Roman" w:cs="Times New Roman"/>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 Антикорр</w:t>
      </w:r>
      <w:r w:rsidR="00F561A5">
        <w:rPr>
          <w:rFonts w:ascii="Times New Roman" w:eastAsia="Times New Roman" w:hAnsi="Times New Roman" w:cs="Times New Roman"/>
          <w:sz w:val="24"/>
          <w:szCs w:val="24"/>
          <w:lang w:eastAsia="ru-RU"/>
        </w:rPr>
        <w:t>упционная политика МКУК «Сурковский</w:t>
      </w:r>
      <w:r w:rsidRPr="00563A1D">
        <w:rPr>
          <w:rFonts w:ascii="Times New Roman" w:eastAsia="Times New Roman" w:hAnsi="Times New Roman" w:cs="Times New Roman"/>
          <w:sz w:val="24"/>
          <w:szCs w:val="24"/>
          <w:lang w:eastAsia="ru-RU"/>
        </w:rPr>
        <w:t xml:space="preserve"> КДЦ»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МКУ</w:t>
      </w:r>
      <w:r w:rsidR="00F561A5">
        <w:rPr>
          <w:rFonts w:ascii="Times New Roman" w:eastAsia="Times New Roman" w:hAnsi="Times New Roman" w:cs="Times New Roman"/>
          <w:sz w:val="24"/>
          <w:szCs w:val="24"/>
          <w:lang w:eastAsia="ru-RU"/>
        </w:rPr>
        <w:t>К «Сурковский</w:t>
      </w:r>
      <w:r w:rsidRPr="00563A1D">
        <w:rPr>
          <w:rFonts w:ascii="Times New Roman" w:eastAsia="Times New Roman" w:hAnsi="Times New Roman" w:cs="Times New Roman"/>
          <w:sz w:val="24"/>
          <w:szCs w:val="24"/>
          <w:lang w:eastAsia="ru-RU"/>
        </w:rPr>
        <w:t xml:space="preserve"> КДЦ» </w:t>
      </w:r>
      <w:r w:rsidRPr="00563A1D">
        <w:rPr>
          <w:rFonts w:ascii="Times New Roman" w:eastAsia="Times New Roman" w:hAnsi="Times New Roman" w:cs="Times New Roman"/>
          <w:sz w:val="24"/>
          <w:szCs w:val="28"/>
          <w:lang w:eastAsia="ru-RU"/>
        </w:rPr>
        <w:t>(далее – Учреждение)</w:t>
      </w:r>
      <w:r w:rsidRPr="00563A1D">
        <w:rPr>
          <w:rFonts w:ascii="Times New Roman" w:eastAsia="Times New Roman" w:hAnsi="Times New Roman" w:cs="Times New Roman"/>
          <w:sz w:val="24"/>
          <w:szCs w:val="24"/>
          <w:lang w:eastAsia="ru-RU"/>
        </w:rPr>
        <w:t>.</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63A1D">
        <w:rPr>
          <w:rFonts w:ascii="Times New Roman" w:eastAsia="Times New Roman" w:hAnsi="Times New Roman" w:cs="Times New Roman"/>
          <w:sz w:val="24"/>
          <w:szCs w:val="24"/>
          <w:vertAlign w:val="superscript"/>
          <w:lang w:eastAsia="ru-RU"/>
        </w:rPr>
        <w:footnoteReference w:id="2"/>
      </w:r>
      <w:r w:rsidRPr="00563A1D">
        <w:rPr>
          <w:rFonts w:ascii="Times New Roman" w:eastAsia="Times New Roman" w:hAnsi="Times New Roman" w:cs="Times New Roman"/>
          <w:sz w:val="24"/>
          <w:szCs w:val="24"/>
          <w:lang w:eastAsia="ru-RU"/>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 Целями антикоррупционной политики Учреждения являются:</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обеспечение соответствия деятельности Учреждения требованиям антикоррупционного законодательства;</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минимизация рисков вовлечения Учреждения и его работников в коррупционную деятельность;</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формирование единого подхода к организации работы по предупреждению коррупции в Учреждении;</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 формирование у работников Учреждения нетерпимости к коррупционному поведению. </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 Задачами антикоррупционной политики Учреждения являются:</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определение должностных лиц Учреждения, ответственных за реализацию антикоррупционной политики Учреждения;</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определение основных принципов работы по предупреждению коррупции в Учреждении;</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разработка и реализация мер, направленных на профилактику и противодействие коррупции в Учреждении;</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закрепление ответственности работников Учреждения за несоблюдение требований антикоррупционной политики Учреждения.</w:t>
      </w:r>
    </w:p>
    <w:p w:rsidR="00563A1D" w:rsidRPr="00563A1D" w:rsidRDefault="00563A1D" w:rsidP="00EF76E2">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5. Для целей настоящего Положения используются следующие основные понятия:</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lastRenderedPageBreak/>
        <w:t>коррупция</w:t>
      </w:r>
      <w:r w:rsidRPr="00563A1D">
        <w:rPr>
          <w:rFonts w:ascii="Times New Roman" w:eastAsia="Times New Roman" w:hAnsi="Times New Roman" w:cs="Times New Roman"/>
          <w:sz w:val="24"/>
          <w:szCs w:val="24"/>
          <w:lang w:eastAsia="ru-RU"/>
        </w:rPr>
        <w:t>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взятка</w:t>
      </w:r>
      <w:r w:rsidRPr="00563A1D">
        <w:rPr>
          <w:rFonts w:ascii="Times New Roman" w:eastAsia="Times New Roman" w:hAnsi="Times New Roman" w:cs="Times New Roman"/>
          <w:sz w:val="24"/>
          <w:szCs w:val="24"/>
          <w:lang w:eastAsia="ru-RU"/>
        </w:rPr>
        <w:t>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коммерческий подкуп</w:t>
      </w:r>
      <w:r w:rsidRPr="00563A1D">
        <w:rPr>
          <w:rFonts w:ascii="Times New Roman" w:eastAsia="Times New Roman" w:hAnsi="Times New Roman" w:cs="Times New Roman"/>
          <w:sz w:val="24"/>
          <w:szCs w:val="24"/>
          <w:lang w:eastAsia="ru-RU"/>
        </w:rPr>
        <w:t>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противодействие коррупции</w:t>
      </w:r>
      <w:r w:rsidRPr="00563A1D">
        <w:rPr>
          <w:rFonts w:ascii="Times New Roman" w:eastAsia="Times New Roman" w:hAnsi="Times New Roman" w:cs="Times New Roman"/>
          <w:sz w:val="24"/>
          <w:szCs w:val="24"/>
          <w:lang w:eastAsia="ru-RU"/>
        </w:rPr>
        <w:t>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 по предупреждению коррупции, в том числе по выявлению и последующему устранению причин коррупции (профилактика коррупции);</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 по выявлению, предупреждению, пресечению, раскрытию и расследованию коррупционных правонарушений (борьба с коррупцией);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 по минимизации и (или) ликвидации последствий коррупционных правонарушений;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предупреждение коррупции</w:t>
      </w:r>
      <w:r w:rsidRPr="00563A1D">
        <w:rPr>
          <w:rFonts w:ascii="Times New Roman" w:eastAsia="Times New Roman" w:hAnsi="Times New Roman" w:cs="Times New Roman"/>
          <w:sz w:val="24"/>
          <w:szCs w:val="24"/>
          <w:lang w:eastAsia="ru-RU"/>
        </w:rPr>
        <w:t>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 xml:space="preserve">работник </w:t>
      </w:r>
      <w:r w:rsidRPr="00563A1D">
        <w:rPr>
          <w:rFonts w:ascii="Times New Roman" w:eastAsia="Times New Roman" w:hAnsi="Times New Roman" w:cs="Times New Roman"/>
          <w:sz w:val="24"/>
          <w:szCs w:val="24"/>
          <w:lang w:eastAsia="ru-RU"/>
        </w:rPr>
        <w:t>Учреждения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физическое лицо, вступившее в трудовые отношения с Учреждением;</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 xml:space="preserve">контрагент </w:t>
      </w:r>
      <w:r w:rsidRPr="00563A1D">
        <w:rPr>
          <w:rFonts w:ascii="Times New Roman" w:eastAsia="Times New Roman" w:hAnsi="Times New Roman" w:cs="Times New Roman"/>
          <w:sz w:val="24"/>
          <w:szCs w:val="24"/>
          <w:lang w:eastAsia="ru-RU"/>
        </w:rPr>
        <w:t>Учреждения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t>конфликт интересов</w:t>
      </w:r>
      <w:r w:rsidRPr="00563A1D">
        <w:rPr>
          <w:rFonts w:ascii="Times New Roman" w:eastAsia="Times New Roman" w:hAnsi="Times New Roman" w:cs="Times New Roman"/>
          <w:b/>
          <w:sz w:val="24"/>
          <w:szCs w:val="24"/>
          <w:vertAlign w:val="superscript"/>
          <w:lang w:eastAsia="ru-RU"/>
        </w:rPr>
        <w:footnoteReference w:id="3"/>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b/>
          <w:sz w:val="24"/>
          <w:szCs w:val="24"/>
          <w:lang w:eastAsia="ru-RU"/>
        </w:rPr>
        <w:lastRenderedPageBreak/>
        <w:t>личная заинтересованность</w:t>
      </w:r>
      <w:r w:rsidRPr="00563A1D">
        <w:rPr>
          <w:rFonts w:ascii="Times New Roman" w:eastAsia="Times New Roman" w:hAnsi="Times New Roman" w:cs="Times New Roman"/>
          <w:sz w:val="24"/>
          <w:szCs w:val="24"/>
          <w:lang w:eastAsia="ru-RU"/>
        </w:rPr>
        <w:t>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sz w:val="24"/>
          <w:szCs w:val="24"/>
          <w:lang w:eastAsia="ru-RU"/>
        </w:rPr>
      </w:pP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II</w:t>
      </w:r>
      <w:r w:rsidRPr="00563A1D">
        <w:rPr>
          <w:rFonts w:ascii="Times New Roman" w:eastAsia="Times New Roman" w:hAnsi="Times New Roman" w:cs="Times New Roman"/>
          <w:b/>
          <w:sz w:val="24"/>
          <w:szCs w:val="24"/>
          <w:lang w:eastAsia="ru-RU"/>
        </w:rPr>
        <w:t>. Область применения настоящего Положения</w:t>
      </w: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и круг лиц, на которых распространяется его действие</w:t>
      </w:r>
    </w:p>
    <w:p w:rsidR="00563A1D" w:rsidRPr="00563A1D" w:rsidRDefault="00563A1D" w:rsidP="00563A1D">
      <w:pPr>
        <w:keepNext/>
        <w:keepLines/>
        <w:tabs>
          <w:tab w:val="left" w:pos="0"/>
          <w:tab w:val="left" w:pos="993"/>
        </w:tabs>
        <w:spacing w:after="0" w:line="240" w:lineRule="auto"/>
        <w:jc w:val="both"/>
        <w:rPr>
          <w:rFonts w:ascii="Times New Roman" w:eastAsia="Times New Roman" w:hAnsi="Times New Roman" w:cs="Times New Roman"/>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b/>
          <w:sz w:val="24"/>
          <w:szCs w:val="24"/>
          <w:lang w:eastAsia="ru-RU"/>
        </w:rPr>
      </w:pP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III</w:t>
      </w:r>
      <w:r w:rsidRPr="00563A1D">
        <w:rPr>
          <w:rFonts w:ascii="Times New Roman" w:eastAsia="Times New Roman" w:hAnsi="Times New Roman" w:cs="Times New Roman"/>
          <w:b/>
          <w:sz w:val="24"/>
          <w:szCs w:val="24"/>
          <w:lang w:eastAsia="ru-RU"/>
        </w:rPr>
        <w:t>. Основные принципы антикоррупционной политики Учреждения</w:t>
      </w: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b/>
          <w:sz w:val="24"/>
          <w:szCs w:val="24"/>
          <w:lang w:eastAsia="ru-RU"/>
        </w:rPr>
      </w:pP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8. Антикоррупционная политика Учреждения основывается на следующих основных принципах:</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 принцип соответствия антикоррупционной политики Учреждения законодательству Российской Федерации и общепринятым нормам права.</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 принцип личного примера руководства.</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 принцип вовлеченности работников.</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 принцип соразмерности антикоррупционных процедур коррупционным рискам.</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5) принцип эффективности антикоррупционных процедур.</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6) принцип ответственности и неотвратимости наказания.</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7) принцип открытости хозяйственной и иной деятельности.</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lastRenderedPageBreak/>
        <w:t>Информирование контрагентов, партнеров и общественности о принятых в Учреждении антикоррупционных стандартах и процедурах.</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8) принцип постоянного контроля и регулярного мониторинга.</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над их исполнением.</w:t>
      </w:r>
    </w:p>
    <w:p w:rsidR="00563A1D" w:rsidRPr="00563A1D" w:rsidRDefault="00563A1D" w:rsidP="00563A1D">
      <w:pPr>
        <w:keepNext/>
        <w:keepLines/>
        <w:tabs>
          <w:tab w:val="left" w:pos="0"/>
          <w:tab w:val="left" w:pos="993"/>
        </w:tabs>
        <w:spacing w:after="0" w:line="240" w:lineRule="auto"/>
        <w:jc w:val="both"/>
        <w:rPr>
          <w:rFonts w:ascii="Times New Roman" w:eastAsia="Times New Roman" w:hAnsi="Times New Roman" w:cs="Times New Roman"/>
          <w:sz w:val="24"/>
          <w:szCs w:val="24"/>
          <w:lang w:eastAsia="ru-RU"/>
        </w:rPr>
      </w:pP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IV</w:t>
      </w:r>
      <w:r w:rsidRPr="00563A1D">
        <w:rPr>
          <w:rFonts w:ascii="Times New Roman" w:eastAsia="Times New Roman" w:hAnsi="Times New Roman" w:cs="Times New Roman"/>
          <w:b/>
          <w:sz w:val="24"/>
          <w:szCs w:val="24"/>
          <w:lang w:eastAsia="ru-RU"/>
        </w:rPr>
        <w:t>. Должностные лица Учреждения, ответственные за реализацию</w:t>
      </w: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антикоррупционной политики Учреждения</w:t>
      </w:r>
    </w:p>
    <w:p w:rsidR="00563A1D" w:rsidRPr="00563A1D" w:rsidRDefault="00563A1D" w:rsidP="00563A1D">
      <w:pPr>
        <w:spacing w:after="0" w:line="240" w:lineRule="auto"/>
        <w:jc w:val="both"/>
        <w:rPr>
          <w:rFonts w:ascii="Times New Roman" w:eastAsia="Times New Roman" w:hAnsi="Times New Roman" w:cs="Times New Roman"/>
          <w:sz w:val="24"/>
          <w:szCs w:val="24"/>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подготовка рекомендаций для принятия решений по вопросам предупреждения коррупции в Учреждении;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подготовка предложений, направленных на устранение причин и условий, порождающих риск возникновения коррупции в Учреждении;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проведение контрольных мероприятий, направленных на выявление коррупционных правонарушений, совершенных работниками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организация проведения оценки коррупционных рисков;</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организация работы по рассмотрению сообщений о конфликте интересов;</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индивидуальное консультирование работников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участие в организации антикоррупционной пропаганды;</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563A1D" w:rsidRPr="00563A1D" w:rsidRDefault="00563A1D" w:rsidP="00563A1D">
      <w:pPr>
        <w:tabs>
          <w:tab w:val="left" w:pos="5810"/>
        </w:tabs>
        <w:spacing w:after="0" w:line="240" w:lineRule="auto"/>
        <w:rPr>
          <w:rFonts w:ascii="Times New Roman" w:eastAsia="Times New Roman" w:hAnsi="Times New Roman" w:cs="Times New Roman"/>
          <w:sz w:val="24"/>
          <w:szCs w:val="24"/>
          <w:lang w:eastAsia="ru-RU"/>
        </w:rPr>
      </w:pP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V</w:t>
      </w:r>
      <w:r w:rsidRPr="00563A1D">
        <w:rPr>
          <w:rFonts w:ascii="Times New Roman" w:eastAsia="Times New Roman" w:hAnsi="Times New Roman" w:cs="Times New Roman"/>
          <w:b/>
          <w:sz w:val="24"/>
          <w:szCs w:val="24"/>
          <w:lang w:eastAsia="ru-RU"/>
        </w:rPr>
        <w:t>. Обязанности руководителя Учреждения и работников Учреждения,</w:t>
      </w: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по предупреждению коррупции</w:t>
      </w:r>
    </w:p>
    <w:p w:rsidR="00563A1D" w:rsidRPr="00563A1D" w:rsidRDefault="00563A1D" w:rsidP="00563A1D">
      <w:pPr>
        <w:keepNext/>
        <w:keepLines/>
        <w:tabs>
          <w:tab w:val="left" w:pos="0"/>
          <w:tab w:val="left" w:pos="993"/>
        </w:tabs>
        <w:spacing w:after="0" w:line="240" w:lineRule="auto"/>
        <w:ind w:firstLine="709"/>
        <w:rPr>
          <w:rFonts w:ascii="Times New Roman" w:eastAsia="Times New Roman" w:hAnsi="Times New Roman" w:cs="Times New Roman"/>
          <w:b/>
          <w:sz w:val="24"/>
          <w:szCs w:val="24"/>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12. Работники Учреждения знакомятся с настоящим Положением под роспись.</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lastRenderedPageBreak/>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руководствоваться требованиями настоящего Положения и неукоснительно соблюдать принципы антикоррупционной политики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воздерживаться от совершения и (или) участия в совершении коррупционных правонарушений, в том числе в интересах или от имени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15.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EF76E2">
      <w:pPr>
        <w:spacing w:after="0" w:line="240" w:lineRule="auto"/>
        <w:ind w:firstLine="709"/>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VI</w:t>
      </w:r>
      <w:r w:rsidRPr="00563A1D">
        <w:rPr>
          <w:rFonts w:ascii="Times New Roman" w:eastAsia="Times New Roman" w:hAnsi="Times New Roman" w:cs="Times New Roman"/>
          <w:b/>
          <w:sz w:val="24"/>
          <w:szCs w:val="24"/>
          <w:lang w:eastAsia="ru-RU"/>
        </w:rPr>
        <w:t>. Перечень мероприятий по предупреждению коррупции,</w:t>
      </w:r>
    </w:p>
    <w:p w:rsidR="00563A1D" w:rsidRPr="00563A1D" w:rsidRDefault="00563A1D" w:rsidP="00EF76E2">
      <w:pPr>
        <w:spacing w:after="0" w:line="240" w:lineRule="auto"/>
        <w:ind w:firstLine="709"/>
        <w:jc w:val="center"/>
        <w:rPr>
          <w:rFonts w:ascii="Times New Roman" w:eastAsia="Times New Roman" w:hAnsi="Times New Roman" w:cs="Times New Roman"/>
          <w:b/>
          <w:sz w:val="24"/>
          <w:szCs w:val="24"/>
          <w:lang w:val="en-US" w:eastAsia="ru-RU"/>
        </w:rPr>
      </w:pPr>
      <w:r w:rsidRPr="00563A1D">
        <w:rPr>
          <w:rFonts w:ascii="Times New Roman" w:eastAsia="Times New Roman" w:hAnsi="Times New Roman" w:cs="Times New Roman"/>
          <w:b/>
          <w:sz w:val="24"/>
          <w:szCs w:val="24"/>
          <w:lang w:eastAsia="ru-RU"/>
        </w:rPr>
        <w:t>реализуемых Учреждением</w:t>
      </w:r>
      <w:r w:rsidRPr="00563A1D">
        <w:rPr>
          <w:rFonts w:ascii="Times New Roman" w:eastAsia="Times New Roman" w:hAnsi="Times New Roman" w:cs="Times New Roman"/>
          <w:b/>
          <w:sz w:val="24"/>
          <w:szCs w:val="24"/>
          <w:vertAlign w:val="superscript"/>
          <w:lang w:eastAsia="ru-RU"/>
        </w:rPr>
        <w:footnoteReference w:id="4"/>
      </w:r>
    </w:p>
    <w:p w:rsidR="00563A1D" w:rsidRPr="00563A1D" w:rsidRDefault="00563A1D" w:rsidP="00563A1D">
      <w:pPr>
        <w:spacing w:after="0" w:line="240" w:lineRule="auto"/>
        <w:ind w:firstLine="709"/>
        <w:rPr>
          <w:rFonts w:ascii="Times New Roman" w:eastAsia="Times New Roman" w:hAnsi="Times New Roman" w:cs="Times New Roman"/>
          <w:b/>
          <w:sz w:val="24"/>
          <w:szCs w:val="24"/>
          <w:lang w:val="en-US" w:eastAsia="ru-RU"/>
        </w:rPr>
      </w:pPr>
    </w:p>
    <w:tbl>
      <w:tblPr>
        <w:tblStyle w:val="a5"/>
        <w:tblW w:w="0" w:type="auto"/>
        <w:tblLook w:val="04A0"/>
      </w:tblPr>
      <w:tblGrid>
        <w:gridCol w:w="3640"/>
        <w:gridCol w:w="5931"/>
      </w:tblGrid>
      <w:tr w:rsidR="00563A1D" w:rsidRPr="00563A1D" w:rsidTr="00186FCF">
        <w:tc>
          <w:tcPr>
            <w:tcW w:w="3794" w:type="dxa"/>
          </w:tcPr>
          <w:p w:rsidR="00563A1D" w:rsidRPr="00563A1D" w:rsidRDefault="00563A1D" w:rsidP="00563A1D">
            <w:pPr>
              <w:rPr>
                <w:rFonts w:ascii="Times New Roman" w:hAnsi="Times New Roman" w:cs="Times New Roman"/>
                <w:b/>
                <w:sz w:val="24"/>
                <w:szCs w:val="24"/>
                <w:lang w:eastAsia="ru-RU"/>
              </w:rPr>
            </w:pPr>
            <w:r w:rsidRPr="00563A1D">
              <w:rPr>
                <w:rFonts w:ascii="Times New Roman" w:hAnsi="Times New Roman" w:cs="Times New Roman"/>
                <w:b/>
                <w:sz w:val="24"/>
                <w:szCs w:val="24"/>
                <w:lang w:eastAsia="ru-RU"/>
              </w:rPr>
              <w:t>Направление</w:t>
            </w:r>
          </w:p>
        </w:tc>
        <w:tc>
          <w:tcPr>
            <w:tcW w:w="6343" w:type="dxa"/>
          </w:tcPr>
          <w:p w:rsidR="00563A1D" w:rsidRPr="00563A1D" w:rsidRDefault="00563A1D" w:rsidP="00563A1D">
            <w:pPr>
              <w:rPr>
                <w:rFonts w:ascii="Times New Roman" w:hAnsi="Times New Roman" w:cs="Times New Roman"/>
                <w:b/>
                <w:sz w:val="24"/>
                <w:szCs w:val="24"/>
                <w:lang w:eastAsia="ru-RU"/>
              </w:rPr>
            </w:pPr>
            <w:r w:rsidRPr="00563A1D">
              <w:rPr>
                <w:rFonts w:ascii="Times New Roman" w:hAnsi="Times New Roman" w:cs="Times New Roman"/>
                <w:b/>
                <w:sz w:val="24"/>
                <w:szCs w:val="24"/>
                <w:lang w:eastAsia="ru-RU"/>
              </w:rPr>
              <w:t>Мероприятие</w:t>
            </w:r>
          </w:p>
        </w:tc>
      </w:tr>
      <w:tr w:rsidR="00563A1D" w:rsidRPr="00563A1D" w:rsidTr="00186FCF">
        <w:trPr>
          <w:trHeight w:val="277"/>
        </w:trPr>
        <w:tc>
          <w:tcPr>
            <w:tcW w:w="3794" w:type="dxa"/>
            <w:vMerge w:val="restart"/>
          </w:tcPr>
          <w:p w:rsidR="00563A1D" w:rsidRPr="00563A1D" w:rsidRDefault="00563A1D" w:rsidP="00EF76E2">
            <w:pPr>
              <w:jc w:val="left"/>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6343" w:type="dxa"/>
            <w:tcBorders>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Разработка и принятие Кодекса этики и служебного поведения работников Учреждения</w:t>
            </w:r>
          </w:p>
        </w:tc>
      </w:tr>
      <w:tr w:rsidR="00563A1D" w:rsidRPr="00563A1D" w:rsidTr="00186FCF">
        <w:trPr>
          <w:trHeight w:val="288"/>
        </w:trPr>
        <w:tc>
          <w:tcPr>
            <w:tcW w:w="3794" w:type="dxa"/>
            <w:vMerge/>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Разработка и внедрение положения о конфликте интересов</w:t>
            </w:r>
          </w:p>
        </w:tc>
      </w:tr>
      <w:tr w:rsidR="00563A1D" w:rsidRPr="00563A1D" w:rsidTr="00186FCF">
        <w:trPr>
          <w:trHeight w:val="207"/>
        </w:trPr>
        <w:tc>
          <w:tcPr>
            <w:tcW w:w="3794" w:type="dxa"/>
            <w:vMerge/>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563A1D" w:rsidRPr="00563A1D" w:rsidTr="00186FCF">
        <w:trPr>
          <w:trHeight w:val="173"/>
        </w:trPr>
        <w:tc>
          <w:tcPr>
            <w:tcW w:w="3794" w:type="dxa"/>
            <w:vMerge/>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563A1D" w:rsidRPr="00563A1D" w:rsidTr="00186FCF">
        <w:trPr>
          <w:trHeight w:val="208"/>
        </w:trPr>
        <w:tc>
          <w:tcPr>
            <w:tcW w:w="3794" w:type="dxa"/>
            <w:vMerge w:val="restart"/>
          </w:tcPr>
          <w:p w:rsidR="00563A1D" w:rsidRPr="00563A1D" w:rsidRDefault="00563A1D" w:rsidP="00EF76E2">
            <w:pPr>
              <w:jc w:val="left"/>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Разработка и введение специальных антикоррупционных процедур</w:t>
            </w:r>
          </w:p>
        </w:tc>
        <w:tc>
          <w:tcPr>
            <w:tcW w:w="6343" w:type="dxa"/>
            <w:tcBorders>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руководителяо случаях склонения его к совершению коррупционных нарушений и порядка рассмотрения таких сообщений</w:t>
            </w:r>
          </w:p>
        </w:tc>
      </w:tr>
      <w:tr w:rsidR="00563A1D" w:rsidRPr="00563A1D" w:rsidTr="00186FCF">
        <w:trPr>
          <w:trHeight w:val="230"/>
        </w:trPr>
        <w:tc>
          <w:tcPr>
            <w:tcW w:w="3794" w:type="dxa"/>
            <w:vMerge/>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 xml:space="preserve">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w:t>
            </w:r>
            <w:r w:rsidRPr="00563A1D">
              <w:rPr>
                <w:rFonts w:ascii="Times New Roman" w:hAnsi="Times New Roman" w:cs="Times New Roman"/>
                <w:sz w:val="24"/>
                <w:szCs w:val="24"/>
                <w:lang w:eastAsia="ru-RU"/>
              </w:rPr>
              <w:lastRenderedPageBreak/>
              <w:t>или иными лицами и порядка рассмотрения таких сообщений</w:t>
            </w:r>
          </w:p>
        </w:tc>
      </w:tr>
      <w:tr w:rsidR="00563A1D" w:rsidRPr="00563A1D" w:rsidTr="00186FCF">
        <w:trPr>
          <w:trHeight w:val="195"/>
        </w:trPr>
        <w:tc>
          <w:tcPr>
            <w:tcW w:w="3794" w:type="dxa"/>
            <w:vMerge/>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563A1D" w:rsidRPr="00563A1D" w:rsidTr="00186FCF">
        <w:trPr>
          <w:trHeight w:val="115"/>
        </w:trPr>
        <w:tc>
          <w:tcPr>
            <w:tcW w:w="3794" w:type="dxa"/>
            <w:vMerge/>
            <w:tcBorders>
              <w:bottom w:val="single" w:sz="4" w:space="0" w:color="auto"/>
            </w:tcBorders>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bottom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 xml:space="preserve">Введение процедур защиты работников Учреждения, сообщивших о коррупционных правонарушениях в деятельности Учреждения </w:t>
            </w:r>
          </w:p>
        </w:tc>
      </w:tr>
      <w:tr w:rsidR="00563A1D" w:rsidRPr="00563A1D" w:rsidTr="00186FCF">
        <w:trPr>
          <w:trHeight w:val="254"/>
        </w:trPr>
        <w:tc>
          <w:tcPr>
            <w:tcW w:w="3794" w:type="dxa"/>
            <w:vMerge w:val="restart"/>
            <w:tcBorders>
              <w:top w:val="single" w:sz="4" w:space="0" w:color="auto"/>
              <w:left w:val="single" w:sz="4" w:space="0" w:color="auto"/>
            </w:tcBorders>
          </w:tcPr>
          <w:p w:rsidR="00563A1D" w:rsidRPr="00563A1D" w:rsidRDefault="00563A1D" w:rsidP="00EF76E2">
            <w:pPr>
              <w:jc w:val="left"/>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Обучение и информирование работников Учреждения</w:t>
            </w:r>
          </w:p>
        </w:tc>
        <w:tc>
          <w:tcPr>
            <w:tcW w:w="6343" w:type="dxa"/>
            <w:tcBorders>
              <w:top w:val="single" w:sz="4" w:space="0" w:color="auto"/>
              <w:bottom w:val="single" w:sz="4" w:space="0" w:color="auto"/>
              <w:right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563A1D" w:rsidRPr="00563A1D" w:rsidTr="00186FCF">
        <w:trPr>
          <w:trHeight w:val="195"/>
        </w:trPr>
        <w:tc>
          <w:tcPr>
            <w:tcW w:w="3794" w:type="dxa"/>
            <w:vMerge/>
            <w:tcBorders>
              <w:left w:val="single" w:sz="4" w:space="0" w:color="auto"/>
              <w:bottom w:val="single" w:sz="4" w:space="0" w:color="auto"/>
            </w:tcBorders>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bottom w:val="single" w:sz="4" w:space="0" w:color="auto"/>
              <w:right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563A1D" w:rsidRPr="00563A1D" w:rsidTr="00186FCF">
        <w:trPr>
          <w:trHeight w:val="173"/>
        </w:trPr>
        <w:tc>
          <w:tcPr>
            <w:tcW w:w="3794" w:type="dxa"/>
            <w:vMerge/>
            <w:tcBorders>
              <w:top w:val="single" w:sz="4" w:space="0" w:color="auto"/>
            </w:tcBorders>
          </w:tcPr>
          <w:p w:rsidR="00563A1D" w:rsidRPr="00563A1D" w:rsidRDefault="00563A1D" w:rsidP="00563A1D">
            <w:pPr>
              <w:ind w:firstLine="284"/>
              <w:jc w:val="both"/>
              <w:rPr>
                <w:rFonts w:ascii="Times New Roman" w:hAnsi="Times New Roman" w:cs="Times New Roman"/>
                <w:sz w:val="24"/>
                <w:szCs w:val="24"/>
                <w:lang w:eastAsia="ru-RU"/>
              </w:rPr>
            </w:pPr>
          </w:p>
        </w:tc>
        <w:tc>
          <w:tcPr>
            <w:tcW w:w="6343" w:type="dxa"/>
            <w:tcBorders>
              <w:top w:val="single" w:sz="4" w:space="0" w:color="auto"/>
            </w:tcBorders>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563A1D" w:rsidRPr="00563A1D" w:rsidTr="00186FCF">
        <w:tc>
          <w:tcPr>
            <w:tcW w:w="3794" w:type="dxa"/>
          </w:tcPr>
          <w:p w:rsidR="00563A1D" w:rsidRPr="00563A1D" w:rsidRDefault="00563A1D" w:rsidP="00EF76E2">
            <w:pPr>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Оценка результатов проводимой антикоррупционной работы</w:t>
            </w:r>
          </w:p>
        </w:tc>
        <w:tc>
          <w:tcPr>
            <w:tcW w:w="6343" w:type="dxa"/>
          </w:tcPr>
          <w:p w:rsidR="00563A1D" w:rsidRPr="00563A1D" w:rsidRDefault="00563A1D" w:rsidP="00563A1D">
            <w:pPr>
              <w:ind w:firstLine="319"/>
              <w:jc w:val="both"/>
              <w:rPr>
                <w:rFonts w:ascii="Times New Roman" w:hAnsi="Times New Roman" w:cs="Times New Roman"/>
                <w:b/>
                <w:sz w:val="24"/>
                <w:szCs w:val="24"/>
                <w:lang w:eastAsia="ru-RU"/>
              </w:rPr>
            </w:pPr>
            <w:r w:rsidRPr="00563A1D">
              <w:rPr>
                <w:rFonts w:ascii="Times New Roman" w:hAnsi="Times New Roman" w:cs="Times New Roman"/>
                <w:sz w:val="24"/>
                <w:szCs w:val="24"/>
                <w:lang w:eastAsia="ru-RU"/>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563A1D" w:rsidRPr="00563A1D" w:rsidRDefault="00563A1D" w:rsidP="00563A1D">
      <w:pPr>
        <w:spacing w:after="0" w:line="240" w:lineRule="auto"/>
        <w:ind w:firstLine="709"/>
        <w:jc w:val="both"/>
        <w:rPr>
          <w:rFonts w:ascii="Times New Roman" w:eastAsia="Times New Roman" w:hAnsi="Times New Roman" w:cs="Times New Roman"/>
          <w:b/>
          <w:sz w:val="24"/>
          <w:szCs w:val="24"/>
          <w:lang w:eastAsia="ru-RU"/>
        </w:rPr>
      </w:pP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b/>
          <w:sz w:val="24"/>
          <w:szCs w:val="24"/>
          <w:lang w:eastAsia="ru-RU"/>
        </w:rPr>
      </w:pP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VII</w:t>
      </w:r>
      <w:r w:rsidRPr="00563A1D">
        <w:rPr>
          <w:rFonts w:ascii="Times New Roman" w:eastAsia="Times New Roman" w:hAnsi="Times New Roman" w:cs="Times New Roman"/>
          <w:b/>
          <w:sz w:val="24"/>
          <w:szCs w:val="24"/>
          <w:lang w:eastAsia="ru-RU"/>
        </w:rPr>
        <w:t>. Меры по предупреждению коррупции при взаимодействии</w:t>
      </w: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с контрагентами Учреждения</w:t>
      </w:r>
    </w:p>
    <w:p w:rsidR="00563A1D" w:rsidRPr="00563A1D" w:rsidRDefault="00563A1D" w:rsidP="00563A1D">
      <w:pPr>
        <w:keepNext/>
        <w:keepLines/>
        <w:tabs>
          <w:tab w:val="left" w:pos="0"/>
          <w:tab w:val="left" w:pos="993"/>
        </w:tabs>
        <w:spacing w:after="0" w:line="240" w:lineRule="auto"/>
        <w:rPr>
          <w:rFonts w:ascii="Times New Roman" w:eastAsia="Times New Roman" w:hAnsi="Times New Roman" w:cs="Times New Roman"/>
          <w:b/>
          <w:sz w:val="24"/>
          <w:szCs w:val="24"/>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16. Работа по предупреждению коррупции при взаимодействии с контрагентами Учреждения проводится в Учреждении по следующим направлениям:</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5) размещение на официальном сайте Учреждения информации о мерах по предупреждению коррупции, принимаемых в Учреждении.</w:t>
      </w:r>
    </w:p>
    <w:p w:rsidR="00563A1D" w:rsidRPr="00563A1D" w:rsidRDefault="00563A1D" w:rsidP="00563A1D">
      <w:pPr>
        <w:spacing w:after="0" w:line="240" w:lineRule="auto"/>
        <w:ind w:firstLine="709"/>
        <w:rPr>
          <w:rFonts w:ascii="Times New Roman" w:eastAsia="Times New Roman" w:hAnsi="Times New Roman" w:cs="Times New Roman"/>
          <w:b/>
          <w:sz w:val="24"/>
          <w:szCs w:val="24"/>
          <w:lang w:eastAsia="ru-RU"/>
        </w:rPr>
      </w:pPr>
    </w:p>
    <w:p w:rsidR="00EF76E2" w:rsidRDefault="00EF76E2" w:rsidP="00EF76E2">
      <w:pPr>
        <w:spacing w:after="0" w:line="240" w:lineRule="auto"/>
        <w:ind w:firstLine="709"/>
        <w:jc w:val="center"/>
        <w:rPr>
          <w:rFonts w:ascii="Times New Roman" w:eastAsia="Times New Roman" w:hAnsi="Times New Roman" w:cs="Times New Roman"/>
          <w:b/>
          <w:sz w:val="24"/>
          <w:szCs w:val="24"/>
          <w:lang w:eastAsia="ru-RU"/>
        </w:rPr>
      </w:pPr>
    </w:p>
    <w:p w:rsidR="00563A1D" w:rsidRPr="00563A1D" w:rsidRDefault="00563A1D" w:rsidP="00EF76E2">
      <w:pPr>
        <w:spacing w:after="0" w:line="240" w:lineRule="auto"/>
        <w:ind w:firstLine="709"/>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lastRenderedPageBreak/>
        <w:t>VIII</w:t>
      </w:r>
      <w:r w:rsidRPr="00563A1D">
        <w:rPr>
          <w:rFonts w:ascii="Times New Roman" w:eastAsia="Times New Roman" w:hAnsi="Times New Roman" w:cs="Times New Roman"/>
          <w:b/>
          <w:sz w:val="24"/>
          <w:szCs w:val="24"/>
          <w:lang w:eastAsia="ru-RU"/>
        </w:rPr>
        <w:t>. Оценка коррупционных рисков</w:t>
      </w:r>
    </w:p>
    <w:p w:rsidR="00563A1D" w:rsidRPr="00563A1D" w:rsidRDefault="00563A1D" w:rsidP="00563A1D">
      <w:pPr>
        <w:spacing w:after="0" w:line="240" w:lineRule="auto"/>
        <w:ind w:firstLine="709"/>
        <w:rPr>
          <w:rFonts w:ascii="Times New Roman" w:eastAsia="Times New Roman" w:hAnsi="Times New Roman" w:cs="Times New Roman"/>
          <w:b/>
          <w:sz w:val="24"/>
          <w:szCs w:val="24"/>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18. В Учреждении устанавливается следующий порядок проведения оценки коррупционных рисков:</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выделение «критических точек»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определяются работы, услуги, формы деятельности, при реализации которых наиболее вероятно возникновение коррупционных правонарушений;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563A1D" w:rsidRPr="00563A1D" w:rsidRDefault="00563A1D" w:rsidP="00563A1D">
      <w:pPr>
        <w:spacing w:after="0" w:line="240" w:lineRule="auto"/>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   - подготовка «карты коррупционных рисков Учреждения»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сводного описания «критических точек» и возможных коррупционных правонарушений;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определение перечня должностей в Учреждении, связанных с высоким уровнем коррупционного риска;</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разработка комплекса мер по устранению или минимизации коррупционных рисков.</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19. Перечень должностей в Учреждении, связанных с высоким уровнем коррупционного риска, включает в себя:</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должность руководителя Учреждения;</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должность заведующей СДК;</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должность бухгалтера (наименование иных должностей)</w:t>
      </w:r>
      <w:r w:rsidRPr="00563A1D">
        <w:rPr>
          <w:rFonts w:ascii="Times New Roman" w:eastAsia="Times New Roman" w:hAnsi="Times New Roman" w:cs="Times New Roman"/>
          <w:sz w:val="24"/>
          <w:szCs w:val="24"/>
          <w:vertAlign w:val="superscript"/>
          <w:lang w:eastAsia="ru-RU"/>
        </w:rPr>
        <w:footnoteReference w:id="5"/>
      </w:r>
      <w:r w:rsidRPr="00563A1D">
        <w:rPr>
          <w:rFonts w:ascii="Times New Roman" w:eastAsia="Times New Roman" w:hAnsi="Times New Roman" w:cs="Times New Roman"/>
          <w:sz w:val="24"/>
          <w:szCs w:val="24"/>
          <w:lang w:eastAsia="ru-RU"/>
        </w:rPr>
        <w:t>.</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20. Карта коррупционных рисков Учреждения включает следующие «критические точки»:</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все виды платных услуг, оказываемых Учреждением;</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хозяйственно-закупочная деятельность;</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бухгалтерская деятельность;</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процессы, связанные с движением кадров в Учреждении (прием на работу, повышение в должности и т.д.);</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принятие управленческих решений.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EF76E2">
      <w:pPr>
        <w:keepNext/>
        <w:keepLines/>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IX</w:t>
      </w:r>
      <w:r w:rsidRPr="00563A1D">
        <w:rPr>
          <w:rFonts w:ascii="Times New Roman" w:eastAsia="Times New Roman" w:hAnsi="Times New Roman" w:cs="Times New Roman"/>
          <w:b/>
          <w:sz w:val="24"/>
          <w:szCs w:val="24"/>
          <w:lang w:eastAsia="ru-RU"/>
        </w:rPr>
        <w:t>. Подарки и представительские расходы</w:t>
      </w:r>
    </w:p>
    <w:p w:rsidR="00563A1D" w:rsidRPr="00563A1D" w:rsidRDefault="00563A1D" w:rsidP="00563A1D">
      <w:pPr>
        <w:keepNext/>
        <w:keepLines/>
        <w:tabs>
          <w:tab w:val="left" w:pos="0"/>
          <w:tab w:val="left" w:pos="993"/>
        </w:tabs>
        <w:spacing w:after="0" w:line="240" w:lineRule="auto"/>
        <w:ind w:firstLine="709"/>
        <w:rPr>
          <w:rFonts w:ascii="Times New Roman" w:eastAsia="Times New Roman" w:hAnsi="Times New Roman" w:cs="Times New Roman"/>
          <w:sz w:val="24"/>
          <w:szCs w:val="24"/>
          <w:lang w:eastAsia="ru-RU"/>
        </w:rPr>
      </w:pPr>
    </w:p>
    <w:p w:rsidR="00700716"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r w:rsidR="00700716">
        <w:rPr>
          <w:rFonts w:ascii="Times New Roman" w:eastAsia="Times New Roman" w:hAnsi="Times New Roman" w:cs="Times New Roman"/>
          <w:sz w:val="24"/>
          <w:szCs w:val="24"/>
          <w:lang w:eastAsia="ru-RU"/>
        </w:rPr>
        <w:t>,  согласно пункта</w:t>
      </w:r>
      <w:r w:rsidR="00700716" w:rsidRPr="00700716">
        <w:rPr>
          <w:rFonts w:ascii="Times New Roman" w:eastAsia="Times New Roman" w:hAnsi="Times New Roman" w:cs="Times New Roman"/>
          <w:sz w:val="24"/>
          <w:szCs w:val="24"/>
          <w:lang w:eastAsia="ru-RU"/>
        </w:rPr>
        <w:t xml:space="preserve"> 1 статьи 575 Гражданского кодекса Российской Федерации</w:t>
      </w:r>
      <w:r w:rsidR="00700716">
        <w:rPr>
          <w:rFonts w:ascii="Times New Roman" w:eastAsia="Times New Roman" w:hAnsi="Times New Roman" w:cs="Times New Roman"/>
          <w:sz w:val="24"/>
          <w:szCs w:val="24"/>
          <w:lang w:eastAsia="ru-RU"/>
        </w:rPr>
        <w:t>:</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 быть прямо связанными с целями деятельности Учреждения; </w:t>
      </w:r>
    </w:p>
    <w:p w:rsidR="00563A1D" w:rsidRPr="00563A1D" w:rsidRDefault="00563A1D" w:rsidP="00563A1D">
      <w:pPr>
        <w:keepNext/>
        <w:keepLines/>
        <w:tabs>
          <w:tab w:val="left" w:pos="0"/>
          <w:tab w:val="left" w:pos="993"/>
        </w:tabs>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быть разумно обоснованными, соразмерными и не являться предметами роскоши;</w:t>
      </w:r>
      <w:bookmarkEnd w:id="0"/>
      <w:bookmarkEnd w:id="1"/>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563A1D" w:rsidRPr="00563A1D" w:rsidRDefault="00563A1D" w:rsidP="00563A1D">
      <w:pPr>
        <w:spacing w:after="0" w:line="240" w:lineRule="auto"/>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         -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lastRenderedPageBreak/>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EF76E2">
      <w:pPr>
        <w:spacing w:after="0" w:line="240" w:lineRule="auto"/>
        <w:ind w:firstLine="709"/>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X</w:t>
      </w:r>
      <w:r w:rsidRPr="00563A1D">
        <w:rPr>
          <w:rFonts w:ascii="Times New Roman" w:eastAsia="Times New Roman" w:hAnsi="Times New Roman" w:cs="Times New Roman"/>
          <w:b/>
          <w:sz w:val="24"/>
          <w:szCs w:val="24"/>
          <w:lang w:eastAsia="ru-RU"/>
        </w:rPr>
        <w:t>. Антикоррупционное просвещение работников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EF76E2">
      <w:pPr>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XI</w:t>
      </w:r>
      <w:r w:rsidRPr="00563A1D">
        <w:rPr>
          <w:rFonts w:ascii="Times New Roman" w:eastAsia="Times New Roman" w:hAnsi="Times New Roman" w:cs="Times New Roman"/>
          <w:b/>
          <w:sz w:val="24"/>
          <w:szCs w:val="24"/>
          <w:lang w:eastAsia="ru-RU"/>
        </w:rPr>
        <w:t>. Внутренний контроль и аудит</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29. Для реализации мер предупреждения коррупции в Учреждении осуществляются следующие мероприятия внутреннего контроля и аудита:</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контроль документирования операций хозяйственной деятельности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проверка экономической обоснованности осуществляемых операций в сферах коррупционного риска.</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563A1D">
        <w:rPr>
          <w:rFonts w:ascii="Times New Roman" w:eastAsia="Times New Roman" w:hAnsi="Times New Roman" w:cs="Times New Roman"/>
          <w:sz w:val="24"/>
          <w:szCs w:val="24"/>
          <w:lang w:val="en-US" w:eastAsia="ru-RU"/>
        </w:rPr>
        <w:t>VI</w:t>
      </w:r>
      <w:r w:rsidRPr="00563A1D">
        <w:rPr>
          <w:rFonts w:ascii="Times New Roman" w:eastAsia="Times New Roman" w:hAnsi="Times New Roman" w:cs="Times New Roman"/>
          <w:sz w:val="24"/>
          <w:szCs w:val="24"/>
          <w:lang w:eastAsia="ru-RU"/>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xml:space="preserve">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w:t>
      </w:r>
      <w:r w:rsidRPr="00563A1D">
        <w:rPr>
          <w:rFonts w:ascii="Times New Roman" w:eastAsia="Times New Roman" w:hAnsi="Times New Roman" w:cs="Times New Roman"/>
          <w:sz w:val="24"/>
          <w:szCs w:val="24"/>
          <w:lang w:eastAsia="ru-RU"/>
        </w:rPr>
        <w:lastRenderedPageBreak/>
        <w:t>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индикаторов неправомерных действий: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оплата услуг, характер которых не определён либо вызывает сомнения;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4"/>
          <w:lang w:eastAsia="ru-RU"/>
        </w:rPr>
        <w:t>- закупки или продажи по ценам, значительно отличающимся от рыночных цен;</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 сомнительные платежи наличными денежными средствами.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p>
    <w:p w:rsidR="00563A1D" w:rsidRPr="00563A1D" w:rsidRDefault="00563A1D" w:rsidP="00563A1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63A1D">
        <w:rPr>
          <w:rFonts w:ascii="Times New Roman" w:eastAsia="Times New Roman" w:hAnsi="Times New Roman" w:cs="Times New Roman"/>
          <w:b/>
          <w:sz w:val="28"/>
          <w:szCs w:val="28"/>
          <w:lang w:val="en-US" w:eastAsia="ru-RU"/>
        </w:rPr>
        <w:t>XII</w:t>
      </w:r>
      <w:r w:rsidRPr="00563A1D">
        <w:rPr>
          <w:rFonts w:ascii="Times New Roman" w:eastAsia="Times New Roman" w:hAnsi="Times New Roman" w:cs="Times New Roman"/>
          <w:b/>
          <w:sz w:val="28"/>
          <w:szCs w:val="28"/>
          <w:lang w:eastAsia="ru-RU"/>
        </w:rPr>
        <w:t xml:space="preserve">. Сотрудничество с органами, </w:t>
      </w:r>
      <w:r w:rsidRPr="00563A1D">
        <w:rPr>
          <w:rFonts w:ascii="Times New Roman" w:hAnsi="Times New Roman" w:cs="Times New Roman"/>
          <w:b/>
          <w:sz w:val="28"/>
          <w:szCs w:val="28"/>
        </w:rPr>
        <w:t xml:space="preserve">уполномоченными на осуществление государственного контроля (надзора), </w:t>
      </w:r>
      <w:r w:rsidRPr="00563A1D">
        <w:rPr>
          <w:rFonts w:ascii="Times New Roman" w:eastAsia="Times New Roman" w:hAnsi="Times New Roman" w:cs="Times New Roman"/>
          <w:b/>
          <w:sz w:val="28"/>
          <w:szCs w:val="28"/>
          <w:lang w:eastAsia="ru-RU"/>
        </w:rPr>
        <w:t>и правоохранительными органами в сфере противодействия коррупции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8"/>
          <w:lang w:eastAsia="ru-RU"/>
        </w:rPr>
      </w:pPr>
      <w:r w:rsidRPr="00563A1D">
        <w:rPr>
          <w:rFonts w:ascii="Times New Roman" w:eastAsia="Times New Roman" w:hAnsi="Times New Roman" w:cs="Times New Roman"/>
          <w:sz w:val="24"/>
          <w:szCs w:val="28"/>
          <w:lang w:eastAsia="ru-RU"/>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8"/>
          <w:lang w:eastAsia="ru-RU"/>
        </w:rPr>
        <w:t>Обязанность по сообщению в правоохранительные органы</w:t>
      </w:r>
      <w:r w:rsidRPr="00563A1D">
        <w:rPr>
          <w:rFonts w:ascii="Times New Roman" w:eastAsia="Times New Roman" w:hAnsi="Times New Roman" w:cs="Times New Roman"/>
          <w:sz w:val="24"/>
          <w:szCs w:val="24"/>
          <w:lang w:eastAsia="ru-RU"/>
        </w:rPr>
        <w:t xml:space="preserve">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w:t>
      </w:r>
      <w:r w:rsidRPr="00563A1D">
        <w:rPr>
          <w:rFonts w:ascii="Cambria Math" w:eastAsia="Times New Roman" w:hAnsi="Cambria Math" w:cs="Cambria Math"/>
          <w:sz w:val="24"/>
          <w:szCs w:val="24"/>
          <w:lang w:eastAsia="ru-RU"/>
        </w:rPr>
        <w:t>‒</w:t>
      </w:r>
      <w:r w:rsidRPr="00563A1D">
        <w:rPr>
          <w:rFonts w:ascii="Times New Roman" w:eastAsia="Times New Roman" w:hAnsi="Times New Roman" w:cs="Times New Roman"/>
          <w:sz w:val="24"/>
          <w:szCs w:val="24"/>
          <w:lang w:eastAsia="ru-RU"/>
        </w:rPr>
        <w:t> надзорных мероприятий в Учреждении по вопросам предупреждения и противодействия коррупции;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EF76E2" w:rsidRDefault="00EF76E2" w:rsidP="00EF76E2">
      <w:pPr>
        <w:spacing w:after="0" w:line="240" w:lineRule="auto"/>
        <w:jc w:val="center"/>
        <w:rPr>
          <w:rFonts w:ascii="Times New Roman" w:eastAsia="Times New Roman" w:hAnsi="Times New Roman" w:cs="Times New Roman"/>
          <w:b/>
          <w:sz w:val="24"/>
          <w:szCs w:val="24"/>
          <w:lang w:eastAsia="ru-RU"/>
        </w:rPr>
      </w:pPr>
    </w:p>
    <w:p w:rsidR="00EF76E2" w:rsidRDefault="00EF76E2" w:rsidP="00EF76E2">
      <w:pPr>
        <w:spacing w:after="0" w:line="240" w:lineRule="auto"/>
        <w:jc w:val="center"/>
        <w:rPr>
          <w:rFonts w:ascii="Times New Roman" w:eastAsia="Times New Roman" w:hAnsi="Times New Roman" w:cs="Times New Roman"/>
          <w:b/>
          <w:sz w:val="24"/>
          <w:szCs w:val="24"/>
          <w:lang w:eastAsia="ru-RU"/>
        </w:rPr>
      </w:pPr>
    </w:p>
    <w:p w:rsidR="00563A1D" w:rsidRPr="00563A1D" w:rsidRDefault="00563A1D" w:rsidP="00EF76E2">
      <w:pPr>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lastRenderedPageBreak/>
        <w:t>XIII</w:t>
      </w:r>
      <w:r w:rsidRPr="00563A1D">
        <w:rPr>
          <w:rFonts w:ascii="Times New Roman" w:eastAsia="Times New Roman" w:hAnsi="Times New Roman" w:cs="Times New Roman"/>
          <w:b/>
          <w:sz w:val="24"/>
          <w:szCs w:val="24"/>
          <w:lang w:eastAsia="ru-RU"/>
        </w:rPr>
        <w:t>. Ответственность за несоблюдение требований настоящего Положения</w:t>
      </w:r>
    </w:p>
    <w:p w:rsidR="00563A1D" w:rsidRPr="00563A1D" w:rsidRDefault="00563A1D" w:rsidP="00EF76E2">
      <w:pPr>
        <w:spacing w:after="0" w:line="240" w:lineRule="auto"/>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и нарушение антикоррупционного законодательства</w:t>
      </w:r>
    </w:p>
    <w:p w:rsidR="00563A1D" w:rsidRPr="00563A1D" w:rsidRDefault="00563A1D" w:rsidP="00563A1D">
      <w:pPr>
        <w:spacing w:after="0" w:line="240" w:lineRule="auto"/>
        <w:rPr>
          <w:rFonts w:ascii="Times New Roman" w:eastAsia="Times New Roman" w:hAnsi="Times New Roman" w:cs="Times New Roman"/>
          <w:b/>
          <w:sz w:val="24"/>
          <w:szCs w:val="24"/>
          <w:lang w:eastAsia="ru-RU"/>
        </w:rPr>
      </w:pPr>
    </w:p>
    <w:p w:rsidR="00563A1D" w:rsidRPr="00563A1D" w:rsidRDefault="00563A1D" w:rsidP="00563A1D">
      <w:pPr>
        <w:spacing w:after="0" w:line="240" w:lineRule="auto"/>
        <w:rPr>
          <w:rFonts w:ascii="Times New Roman" w:eastAsia="Times New Roman" w:hAnsi="Times New Roman" w:cs="Times New Roman"/>
          <w:b/>
          <w:sz w:val="24"/>
          <w:szCs w:val="24"/>
          <w:lang w:eastAsia="ru-RU"/>
        </w:rPr>
      </w:pP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38.</w:t>
      </w:r>
      <w:r w:rsidRPr="00563A1D">
        <w:rPr>
          <w:rFonts w:ascii="Times New Roman" w:eastAsia="Times New Roman" w:hAnsi="Times New Roman" w:cs="Times New Roman"/>
          <w:sz w:val="24"/>
          <w:szCs w:val="24"/>
          <w:lang w:val="en-US" w:eastAsia="ru-RU"/>
        </w:rPr>
        <w:t> </w:t>
      </w:r>
      <w:r w:rsidRPr="00563A1D">
        <w:rPr>
          <w:rFonts w:ascii="Times New Roman" w:eastAsia="Times New Roman" w:hAnsi="Times New Roman" w:cs="Times New Roman"/>
          <w:sz w:val="24"/>
          <w:szCs w:val="24"/>
          <w:lang w:eastAsia="ru-RU"/>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39.</w:t>
      </w:r>
      <w:r w:rsidRPr="00563A1D">
        <w:rPr>
          <w:rFonts w:ascii="Times New Roman" w:eastAsia="Times New Roman" w:hAnsi="Times New Roman" w:cs="Times New Roman"/>
          <w:sz w:val="24"/>
          <w:szCs w:val="24"/>
          <w:lang w:val="en-US" w:eastAsia="ru-RU"/>
        </w:rPr>
        <w:t> </w:t>
      </w:r>
      <w:r w:rsidRPr="00563A1D">
        <w:rPr>
          <w:rFonts w:ascii="Times New Roman" w:eastAsia="Times New Roman" w:hAnsi="Times New Roman" w:cs="Times New Roman"/>
          <w:sz w:val="24"/>
          <w:szCs w:val="24"/>
          <w:lang w:eastAsia="ru-RU"/>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563A1D" w:rsidRPr="00563A1D" w:rsidRDefault="00563A1D" w:rsidP="00EF76E2">
      <w:pPr>
        <w:spacing w:after="0" w:line="240" w:lineRule="auto"/>
        <w:ind w:firstLine="709"/>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40.</w:t>
      </w:r>
      <w:r w:rsidRPr="00563A1D">
        <w:rPr>
          <w:rFonts w:ascii="Times New Roman" w:eastAsia="Times New Roman" w:hAnsi="Times New Roman" w:cs="Times New Roman"/>
          <w:sz w:val="24"/>
          <w:szCs w:val="24"/>
          <w:lang w:val="en-US" w:eastAsia="ru-RU"/>
        </w:rPr>
        <w:t> </w:t>
      </w:r>
      <w:r w:rsidRPr="00563A1D">
        <w:rPr>
          <w:rFonts w:ascii="Times New Roman" w:eastAsia="Times New Roman" w:hAnsi="Times New Roman" w:cs="Times New Roman"/>
          <w:sz w:val="24"/>
          <w:szCs w:val="24"/>
          <w:lang w:eastAsia="ru-RU"/>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EF76E2">
      <w:pPr>
        <w:spacing w:after="0" w:line="240" w:lineRule="auto"/>
        <w:ind w:firstLine="709"/>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val="en-US" w:eastAsia="ru-RU"/>
        </w:rPr>
        <w:t>XIV</w:t>
      </w:r>
      <w:r w:rsidRPr="00563A1D">
        <w:rPr>
          <w:rFonts w:ascii="Times New Roman" w:eastAsia="Times New Roman" w:hAnsi="Times New Roman" w:cs="Times New Roman"/>
          <w:b/>
          <w:sz w:val="24"/>
          <w:szCs w:val="24"/>
          <w:lang w:eastAsia="ru-RU"/>
        </w:rPr>
        <w:t>. Порядок пересмотра настоящего Положения</w:t>
      </w:r>
    </w:p>
    <w:p w:rsidR="00563A1D" w:rsidRPr="00563A1D" w:rsidRDefault="00563A1D" w:rsidP="00EF76E2">
      <w:pPr>
        <w:spacing w:after="0" w:line="240" w:lineRule="auto"/>
        <w:ind w:firstLine="709"/>
        <w:jc w:val="center"/>
        <w:rPr>
          <w:rFonts w:ascii="Times New Roman" w:eastAsia="Times New Roman" w:hAnsi="Times New Roman" w:cs="Times New Roman"/>
          <w:b/>
          <w:sz w:val="24"/>
          <w:szCs w:val="24"/>
          <w:lang w:eastAsia="ru-RU"/>
        </w:rPr>
      </w:pPr>
      <w:r w:rsidRPr="00563A1D">
        <w:rPr>
          <w:rFonts w:ascii="Times New Roman" w:eastAsia="Times New Roman" w:hAnsi="Times New Roman" w:cs="Times New Roman"/>
          <w:b/>
          <w:sz w:val="24"/>
          <w:szCs w:val="24"/>
          <w:lang w:eastAsia="ru-RU"/>
        </w:rPr>
        <w:t>и внесения в него изменений</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41. Учреждение осуществляет регулярный мониторинг эффективности реализации антикоррупционной политики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563A1D" w:rsidRPr="00563A1D" w:rsidRDefault="00563A1D" w:rsidP="00563A1D">
      <w:pPr>
        <w:spacing w:after="0" w:line="240" w:lineRule="auto"/>
        <w:ind w:firstLine="709"/>
        <w:jc w:val="both"/>
        <w:rPr>
          <w:rFonts w:ascii="Times New Roman" w:eastAsia="Times New Roman" w:hAnsi="Times New Roman" w:cs="Times New Roman"/>
          <w:sz w:val="24"/>
          <w:szCs w:val="24"/>
          <w:lang w:eastAsia="ru-RU"/>
        </w:rPr>
      </w:pPr>
      <w:r w:rsidRPr="00563A1D">
        <w:rPr>
          <w:rFonts w:ascii="Times New Roman" w:eastAsia="Times New Roman" w:hAnsi="Times New Roman" w:cs="Times New Roman"/>
          <w:sz w:val="24"/>
          <w:szCs w:val="24"/>
          <w:lang w:eastAsia="ru-RU"/>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563A1D" w:rsidRPr="00563A1D" w:rsidRDefault="00563A1D" w:rsidP="00563A1D">
      <w:pPr>
        <w:spacing w:after="0" w:line="240" w:lineRule="auto"/>
        <w:ind w:firstLine="709"/>
        <w:jc w:val="both"/>
        <w:rPr>
          <w:rFonts w:ascii="Times New Roman" w:eastAsia="Times New Roman" w:hAnsi="Times New Roman" w:cs="Times New Roman"/>
          <w:sz w:val="28"/>
          <w:szCs w:val="28"/>
          <w:lang w:eastAsia="ru-RU"/>
        </w:rPr>
      </w:pPr>
    </w:p>
    <w:p w:rsidR="009462FF" w:rsidRDefault="009462FF"/>
    <w:sectPr w:rsidR="009462FF" w:rsidSect="00EF76E2">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5A0" w:rsidRDefault="009465A0" w:rsidP="00563A1D">
      <w:pPr>
        <w:spacing w:after="0" w:line="240" w:lineRule="auto"/>
      </w:pPr>
      <w:r>
        <w:separator/>
      </w:r>
    </w:p>
  </w:endnote>
  <w:endnote w:type="continuationSeparator" w:id="1">
    <w:p w:rsidR="009465A0" w:rsidRDefault="009465A0" w:rsidP="00563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5A0" w:rsidRDefault="009465A0" w:rsidP="00563A1D">
      <w:pPr>
        <w:spacing w:after="0" w:line="240" w:lineRule="auto"/>
      </w:pPr>
      <w:r>
        <w:separator/>
      </w:r>
    </w:p>
  </w:footnote>
  <w:footnote w:type="continuationSeparator" w:id="1">
    <w:p w:rsidR="009465A0" w:rsidRDefault="009465A0" w:rsidP="00563A1D">
      <w:pPr>
        <w:spacing w:after="0" w:line="240" w:lineRule="auto"/>
      </w:pPr>
      <w:r>
        <w:continuationSeparator/>
      </w:r>
    </w:p>
  </w:footnote>
  <w:footnote w:id="2">
    <w:p w:rsidR="00563A1D" w:rsidRDefault="00563A1D" w:rsidP="00563A1D">
      <w:pPr>
        <w:pStyle w:val="a3"/>
        <w:jc w:val="both"/>
      </w:pPr>
      <w:r>
        <w:rPr>
          <w:rStyle w:val="a6"/>
        </w:rPr>
        <w:footnoteRef/>
      </w:r>
      <w:r>
        <w:t xml:space="preserve"> При необходимости исходя из вида учреждения указывается Федеральный закон от 18.07.2011 N 223-ФЗ</w:t>
      </w:r>
    </w:p>
    <w:p w:rsidR="00563A1D" w:rsidRDefault="00563A1D" w:rsidP="00563A1D">
      <w:pPr>
        <w:pStyle w:val="a3"/>
        <w:jc w:val="both"/>
      </w:pPr>
      <w:r>
        <w:t>"О закупках товаров, работ, услуг отдельными видами юридических лиц".</w:t>
      </w:r>
    </w:p>
  </w:footnote>
  <w:footnote w:id="3">
    <w:p w:rsidR="00563A1D" w:rsidRDefault="00563A1D" w:rsidP="00563A1D">
      <w:pPr>
        <w:pStyle w:val="a3"/>
        <w:jc w:val="both"/>
      </w:pPr>
      <w:r>
        <w:rPr>
          <w:rStyle w:val="a6"/>
        </w:rPr>
        <w:footnoteRef/>
      </w:r>
      <w:r>
        <w:t>Обращаем внимание</w:t>
      </w:r>
      <w:r w:rsidRPr="00EA7820">
        <w:t xml:space="preserve">, что </w:t>
      </w:r>
      <w:r>
        <w:t xml:space="preserve">федеральные законы, регулирующие отношения, которые возникают в определенной сфере, например, в сфере образования, в сфере охраны здоровья граждан </w:t>
      </w:r>
      <w:r w:rsidRPr="00EA7820">
        <w:t>(Ф</w:t>
      </w:r>
      <w:r>
        <w:t xml:space="preserve">едеральный закон </w:t>
      </w:r>
      <w:r w:rsidRPr="00EA7820">
        <w:t xml:space="preserve">от 29.12.2012 </w:t>
      </w:r>
      <w:r>
        <w:t>№ </w:t>
      </w:r>
      <w:r w:rsidRPr="00EA7820">
        <w:t>273-ФЗ «Об</w:t>
      </w:r>
      <w:r>
        <w:t> </w:t>
      </w:r>
      <w:r w:rsidRPr="00EA7820">
        <w:t>образовании</w:t>
      </w:r>
      <w:r>
        <w:t xml:space="preserve"> в Российской Федерации</w:t>
      </w:r>
      <w:r w:rsidRPr="00EA7820">
        <w:t>»</w:t>
      </w:r>
      <w:r>
        <w:t xml:space="preserve">, </w:t>
      </w:r>
      <w:r w:rsidRPr="00EA7820">
        <w:t xml:space="preserve">Федеральный закон от 21.11.2011 </w:t>
      </w:r>
      <w:r>
        <w:t>№ </w:t>
      </w:r>
      <w:r w:rsidRPr="00EA7820">
        <w:t xml:space="preserve">323-ФЗ </w:t>
      </w:r>
      <w:r>
        <w:t>«</w:t>
      </w:r>
      <w:r w:rsidRPr="00EA7820">
        <w:t>Об основах охраны здоровья граждан в Российской Федерации</w:t>
      </w:r>
      <w:r>
        <w:t xml:space="preserve">»),содержат понятие конфликта интересов </w:t>
      </w:r>
      <w:r w:rsidRPr="00EA7820">
        <w:t>с учетом особенностей сферы</w:t>
      </w:r>
      <w:r>
        <w:t xml:space="preserve"> общественных отношений</w:t>
      </w:r>
      <w:r w:rsidRPr="00EA7820">
        <w:t>, котор</w:t>
      </w:r>
      <w:r>
        <w:t>ые</w:t>
      </w:r>
      <w:r w:rsidRPr="00EA7820">
        <w:t xml:space="preserve"> они регулируют</w:t>
      </w:r>
      <w:r>
        <w:t>.</w:t>
      </w:r>
    </w:p>
  </w:footnote>
  <w:footnote w:id="4">
    <w:p w:rsidR="00563A1D" w:rsidRDefault="00563A1D" w:rsidP="00563A1D">
      <w:pPr>
        <w:keepNext/>
        <w:keepLines/>
        <w:tabs>
          <w:tab w:val="left" w:pos="0"/>
          <w:tab w:val="left" w:pos="993"/>
        </w:tabs>
        <w:ind w:firstLine="709"/>
        <w:jc w:val="both"/>
      </w:pPr>
      <w:r w:rsidRPr="0041575A">
        <w:rPr>
          <w:rStyle w:val="a6"/>
          <w:sz w:val="20"/>
          <w:szCs w:val="20"/>
        </w:rPr>
        <w:footnoteRef/>
      </w:r>
      <w:r>
        <w:rPr>
          <w:sz w:val="20"/>
          <w:szCs w:val="20"/>
        </w:rPr>
        <w:t>На основанииПоложения об антикоррупционной политике, утвержденного в конкретном государственном учреждении,</w:t>
      </w:r>
      <w:r w:rsidRPr="00F72E19">
        <w:rPr>
          <w:sz w:val="20"/>
          <w:szCs w:val="20"/>
        </w:rPr>
        <w:t>утверждается план реализации антикоррупционных мероприятий.</w:t>
      </w:r>
    </w:p>
  </w:footnote>
  <w:footnote w:id="5">
    <w:p w:rsidR="00563A1D" w:rsidRPr="00E94855" w:rsidRDefault="00563A1D" w:rsidP="00563A1D">
      <w:pPr>
        <w:pStyle w:val="a3"/>
        <w:jc w:val="both"/>
      </w:pPr>
      <w:r>
        <w:rPr>
          <w:rStyle w:val="a6"/>
        </w:rPr>
        <w:footnoteRef/>
      </w:r>
      <w:r w:rsidRPr="00E94855">
        <w:t>Учреждению необход</w:t>
      </w:r>
      <w:r>
        <w:t xml:space="preserve">имо указать наименования должностей исходя из </w:t>
      </w:r>
      <w:r w:rsidRPr="00E94855">
        <w:t>своих коррупционных рисков</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90B4D"/>
    <w:rsid w:val="00033D3E"/>
    <w:rsid w:val="00090B4D"/>
    <w:rsid w:val="002F26FD"/>
    <w:rsid w:val="00354049"/>
    <w:rsid w:val="003C7772"/>
    <w:rsid w:val="003D7DB5"/>
    <w:rsid w:val="00563A1D"/>
    <w:rsid w:val="00700716"/>
    <w:rsid w:val="008B3880"/>
    <w:rsid w:val="009462FF"/>
    <w:rsid w:val="009465A0"/>
    <w:rsid w:val="00EE6FE9"/>
    <w:rsid w:val="00EF76E2"/>
    <w:rsid w:val="00F56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3A1D"/>
    <w:pPr>
      <w:spacing w:after="0" w:line="240" w:lineRule="auto"/>
    </w:pPr>
    <w:rPr>
      <w:sz w:val="20"/>
      <w:szCs w:val="20"/>
    </w:rPr>
  </w:style>
  <w:style w:type="character" w:customStyle="1" w:styleId="a4">
    <w:name w:val="Текст сноски Знак"/>
    <w:basedOn w:val="a0"/>
    <w:link w:val="a3"/>
    <w:uiPriority w:val="99"/>
    <w:semiHidden/>
    <w:rsid w:val="00563A1D"/>
    <w:rPr>
      <w:sz w:val="20"/>
      <w:szCs w:val="20"/>
    </w:rPr>
  </w:style>
  <w:style w:type="table" w:styleId="a5">
    <w:name w:val="Table Grid"/>
    <w:basedOn w:val="a1"/>
    <w:uiPriority w:val="99"/>
    <w:rsid w:val="00563A1D"/>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footnote reference"/>
    <w:basedOn w:val="a0"/>
    <w:uiPriority w:val="99"/>
    <w:semiHidden/>
    <w:unhideWhenUsed/>
    <w:rsid w:val="00563A1D"/>
    <w:rPr>
      <w:vertAlign w:val="superscript"/>
    </w:rPr>
  </w:style>
  <w:style w:type="paragraph" w:styleId="a7">
    <w:name w:val="Balloon Text"/>
    <w:basedOn w:val="a"/>
    <w:link w:val="a8"/>
    <w:uiPriority w:val="99"/>
    <w:semiHidden/>
    <w:unhideWhenUsed/>
    <w:rsid w:val="00EF76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3A1D"/>
    <w:pPr>
      <w:spacing w:after="0" w:line="240" w:lineRule="auto"/>
    </w:pPr>
    <w:rPr>
      <w:sz w:val="20"/>
      <w:szCs w:val="20"/>
    </w:rPr>
  </w:style>
  <w:style w:type="character" w:customStyle="1" w:styleId="a4">
    <w:name w:val="Текст сноски Знак"/>
    <w:basedOn w:val="a0"/>
    <w:link w:val="a3"/>
    <w:uiPriority w:val="99"/>
    <w:semiHidden/>
    <w:rsid w:val="00563A1D"/>
    <w:rPr>
      <w:sz w:val="20"/>
      <w:szCs w:val="20"/>
    </w:rPr>
  </w:style>
  <w:style w:type="table" w:styleId="a5">
    <w:name w:val="Table Grid"/>
    <w:basedOn w:val="a1"/>
    <w:uiPriority w:val="99"/>
    <w:rsid w:val="00563A1D"/>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footnote reference"/>
    <w:basedOn w:val="a0"/>
    <w:uiPriority w:val="99"/>
    <w:semiHidden/>
    <w:unhideWhenUsed/>
    <w:rsid w:val="00563A1D"/>
    <w:rPr>
      <w:vertAlign w:val="superscript"/>
    </w:rPr>
  </w:style>
  <w:style w:type="paragraph" w:styleId="a7">
    <w:name w:val="Balloon Text"/>
    <w:basedOn w:val="a"/>
    <w:link w:val="a8"/>
    <w:uiPriority w:val="99"/>
    <w:semiHidden/>
    <w:unhideWhenUsed/>
    <w:rsid w:val="00EF76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7087-C677-401F-A778-82E9D65C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CoolXP User</dc:creator>
  <cp:keywords/>
  <dc:description/>
  <cp:lastModifiedBy>Admin</cp:lastModifiedBy>
  <cp:revision>8</cp:revision>
  <cp:lastPrinted>2019-04-12T04:26:00Z</cp:lastPrinted>
  <dcterms:created xsi:type="dcterms:W3CDTF">2019-03-31T07:09:00Z</dcterms:created>
  <dcterms:modified xsi:type="dcterms:W3CDTF">2019-04-12T04:26:00Z</dcterms:modified>
</cp:coreProperties>
</file>