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 w:firstLine="0" w:left="116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3</w:t>
      </w:r>
    </w:p>
    <w:p w14:paraId="04000000">
      <w:pPr>
        <w:pStyle w:val="Style_2"/>
        <w:ind/>
        <w:jc w:val="right"/>
        <w:rPr>
          <w:b w:val="1"/>
          <w:sz w:val="28"/>
        </w:rPr>
      </w:pPr>
      <w:r>
        <w:rPr>
          <w:b w:val="1"/>
          <w:sz w:val="28"/>
        </w:rPr>
        <w:t xml:space="preserve">Утверждаю: </w:t>
      </w:r>
    </w:p>
    <w:p w14:paraId="05000000">
      <w:pPr>
        <w:pStyle w:val="Style_2"/>
        <w:ind/>
        <w:jc w:val="right"/>
        <w:rPr>
          <w:sz w:val="28"/>
        </w:rPr>
      </w:pPr>
      <w:r>
        <w:rPr>
          <w:sz w:val="28"/>
        </w:rPr>
        <w:t>Директор МКУК «</w:t>
      </w:r>
      <w:r>
        <w:rPr>
          <w:sz w:val="28"/>
        </w:rPr>
        <w:t>Немская</w:t>
      </w:r>
      <w:r>
        <w:rPr>
          <w:sz w:val="28"/>
        </w:rPr>
        <w:t xml:space="preserve">  ЦРБ» </w:t>
      </w:r>
      <w:r>
        <w:rPr>
          <w:sz w:val="28"/>
        </w:rPr>
        <w:t>пгт</w:t>
      </w:r>
      <w:r>
        <w:rPr>
          <w:sz w:val="28"/>
        </w:rPr>
        <w:t>.Н</w:t>
      </w:r>
      <w:r>
        <w:rPr>
          <w:sz w:val="28"/>
        </w:rPr>
        <w:t>ема</w:t>
      </w:r>
    </w:p>
    <w:p w14:paraId="06000000">
      <w:pPr>
        <w:pStyle w:val="Style_2"/>
        <w:ind/>
        <w:jc w:val="right"/>
        <w:rPr>
          <w:sz w:val="28"/>
        </w:rPr>
      </w:pPr>
      <w:r>
        <w:rPr>
          <w:sz w:val="28"/>
        </w:rPr>
        <w:t xml:space="preserve">  </w:t>
      </w:r>
    </w:p>
    <w:p w14:paraId="07000000">
      <w:pPr>
        <w:pStyle w:val="Style_2"/>
        <w:ind/>
        <w:jc w:val="right"/>
        <w:rPr>
          <w:sz w:val="28"/>
        </w:rPr>
      </w:pPr>
      <w:r>
        <w:rPr>
          <w:sz w:val="28"/>
        </w:rPr>
        <w:t>_________________</w:t>
      </w:r>
      <w:r>
        <w:rPr>
          <w:sz w:val="28"/>
        </w:rPr>
        <w:t>С.А.Чудановва</w:t>
      </w:r>
      <w:r>
        <w:rPr>
          <w:sz w:val="28"/>
        </w:rPr>
        <w:t xml:space="preserve">.. </w:t>
      </w:r>
    </w:p>
    <w:p w14:paraId="08000000">
      <w:pPr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>
        <w:rPr>
          <w:sz w:val="28"/>
        </w:rPr>
        <w:t xml:space="preserve">                                                                             </w:t>
      </w:r>
      <w:r>
        <w:rPr>
          <w:sz w:val="28"/>
        </w:rPr>
        <w:t xml:space="preserve">      приказ № 05-03-17 от  10.04.2024г</w:t>
      </w:r>
    </w:p>
    <w:p w14:paraId="09000000">
      <w:pPr>
        <w:spacing w:after="0" w:line="240" w:lineRule="auto"/>
        <w:ind w:firstLine="708" w:left="11624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 w:firstLine="708" w:left="11624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8" w:left="11624"/>
        <w:rPr>
          <w:rFonts w:ascii="Times New Roman" w:hAnsi="Times New Roman"/>
          <w:sz w:val="28"/>
        </w:rPr>
      </w:pPr>
      <w:bookmarkStart w:id="1" w:name="_GoBack"/>
      <w:bookmarkEnd w:id="1"/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РЕЕСТР (КАРТА) 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коррупционных рисков, возникающих при осуществлении закупок</w:t>
      </w:r>
      <w:r>
        <w:t xml:space="preserve"> </w:t>
      </w:r>
      <w:r>
        <w:rPr>
          <w:rFonts w:ascii="Times New Roman" w:hAnsi="Times New Roman"/>
          <w:b w:val="1"/>
          <w:sz w:val="28"/>
        </w:rPr>
        <w:t xml:space="preserve">товаров, работ, услуг 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для обеспечения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государственных</w:t>
      </w:r>
      <w:r>
        <w:rPr>
          <w:rFonts w:ascii="Times New Roman" w:hAnsi="Times New Roman"/>
          <w:b w:val="1"/>
          <w:sz w:val="28"/>
        </w:rPr>
        <w:t xml:space="preserve"> (муниципальных)</w:t>
      </w:r>
      <w:r>
        <w:rPr>
          <w:rFonts w:ascii="Times New Roman" w:hAnsi="Times New Roman"/>
          <w:b w:val="1"/>
          <w:sz w:val="28"/>
        </w:rPr>
        <w:t xml:space="preserve"> нужд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Borders>
          <w:bottom w:color="000000" w:val="nil"/>
        </w:tblBorders>
        <w:tblLayout w:type="fixed"/>
      </w:tblPr>
      <w:tblGrid>
        <w:gridCol w:w="540"/>
        <w:gridCol w:w="2569"/>
        <w:gridCol w:w="2811"/>
        <w:gridCol w:w="3048"/>
        <w:gridCol w:w="3387"/>
        <w:gridCol w:w="2921"/>
      </w:tblGrid>
      <w:tr>
        <w:trPr>
          <w:tblHeader/>
        </w:trPr>
        <w:tc>
          <w:tcPr>
            <w:tcW w:type="dxa" w:w="540"/>
            <w:vMerge w:val="restart"/>
            <w:tcBorders>
              <w:bottom w:color="000000" w:val="nil"/>
            </w:tcBorders>
          </w:tcPr>
          <w:p w14:paraId="1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type="dxa" w:w="2569"/>
            <w:vMerge w:val="restart"/>
            <w:tcBorders>
              <w:bottom w:color="000000" w:val="nil"/>
            </w:tcBorders>
          </w:tcPr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наименование коррупционного риска</w:t>
            </w:r>
          </w:p>
        </w:tc>
        <w:tc>
          <w:tcPr>
            <w:tcW w:type="dxa" w:w="2811"/>
            <w:vMerge w:val="restart"/>
            <w:tcBorders>
              <w:bottom w:color="000000" w:val="nil"/>
            </w:tcBorders>
          </w:tcPr>
          <w:p w14:paraId="1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возможной коррупционной схемы</w:t>
            </w:r>
          </w:p>
        </w:tc>
        <w:tc>
          <w:tcPr>
            <w:tcW w:type="dxa" w:w="3048"/>
            <w:vMerge w:val="restart"/>
            <w:tcBorders>
              <w:bottom w:color="000000" w:val="nil"/>
            </w:tcBorders>
          </w:tcPr>
          <w:p w14:paraId="1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Лица, которые могут </w:t>
            </w:r>
          </w:p>
          <w:p w14:paraId="1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участвовать в реализации коррупционной схемы</w:t>
            </w:r>
          </w:p>
        </w:tc>
        <w:tc>
          <w:tcPr>
            <w:tcW w:type="dxa" w:w="6308"/>
            <w:gridSpan w:val="2"/>
            <w:tcBorders>
              <w:bottom w:color="000000" w:val="nil"/>
            </w:tcBorders>
          </w:tcPr>
          <w:p w14:paraId="1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Меры по минимизации коррупционных рисков</w:t>
            </w:r>
          </w:p>
        </w:tc>
      </w:tr>
      <w:tr>
        <w:trPr>
          <w:tblHeader/>
        </w:trPr>
        <w:tc>
          <w:tcPr>
            <w:tcW w:type="dxa" w:w="540"/>
            <w:gridSpan w:val="1"/>
            <w:vMerge w:val="continue"/>
            <w:tcBorders>
              <w:bottom w:color="000000" w:val="nil"/>
            </w:tcBorders>
          </w:tcPr>
          <w:p/>
        </w:tc>
        <w:tc>
          <w:tcPr>
            <w:tcW w:type="dxa" w:w="2569"/>
            <w:gridSpan w:val="1"/>
            <w:vMerge w:val="continue"/>
            <w:tcBorders>
              <w:bottom w:color="000000" w:val="nil"/>
            </w:tcBorders>
          </w:tcPr>
          <w:p/>
        </w:tc>
        <w:tc>
          <w:tcPr>
            <w:tcW w:type="dxa" w:w="2811"/>
            <w:gridSpan w:val="1"/>
            <w:vMerge w:val="continue"/>
            <w:tcBorders>
              <w:bottom w:color="000000" w:val="nil"/>
            </w:tcBorders>
          </w:tcPr>
          <w:p/>
        </w:tc>
        <w:tc>
          <w:tcPr>
            <w:tcW w:type="dxa" w:w="3048"/>
            <w:gridSpan w:val="1"/>
            <w:vMerge w:val="continue"/>
            <w:tcBorders>
              <w:bottom w:color="000000" w:val="nil"/>
            </w:tcBorders>
          </w:tcPr>
          <w:p/>
        </w:tc>
        <w:tc>
          <w:tcPr>
            <w:tcW w:type="dxa" w:w="3387"/>
            <w:tcBorders>
              <w:bottom w:color="000000" w:val="nil"/>
            </w:tcBorders>
          </w:tcPr>
          <w:p w14:paraId="1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еализуемые</w:t>
            </w:r>
          </w:p>
        </w:tc>
        <w:tc>
          <w:tcPr>
            <w:tcW w:type="dxa" w:w="2921"/>
            <w:tcBorders>
              <w:bottom w:color="000000" w:val="nil"/>
            </w:tcBorders>
          </w:tcPr>
          <w:p w14:paraId="1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редлагаемые</w:t>
            </w:r>
          </w:p>
        </w:tc>
      </w:tr>
    </w:tbl>
    <w:p w14:paraId="18000000">
      <w:pPr>
        <w:spacing w:after="0" w:line="12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Layout w:type="fixed"/>
      </w:tblPr>
      <w:tblGrid>
        <w:gridCol w:w="540"/>
        <w:gridCol w:w="2569"/>
        <w:gridCol w:w="2811"/>
        <w:gridCol w:w="3048"/>
        <w:gridCol w:w="3387"/>
        <w:gridCol w:w="2921"/>
      </w:tblGrid>
      <w:tr>
        <w:trPr>
          <w:tblHeader/>
        </w:trPr>
        <w:tc>
          <w:tcPr>
            <w:tcW w:type="dxa" w:w="540"/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69"/>
            <w:tcBorders>
              <w:bottom w:color="000000" w:sz="4" w:val="single"/>
            </w:tcBorders>
          </w:tcPr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811"/>
            <w:tcBorders>
              <w:bottom w:color="000000" w:sz="4" w:val="single"/>
            </w:tcBorders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048"/>
          </w:tcPr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387"/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921"/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type="dxa" w:w="540"/>
          </w:tcPr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69"/>
            <w:tcBorders>
              <w:right w:color="000000" w:sz="4" w:val="single"/>
            </w:tcBorders>
          </w:tcPr>
          <w:p w14:paraId="20000000">
            <w:pPr>
              <w:ind w:right="-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Предпроцедурный</w:t>
            </w:r>
            <w:r>
              <w:rPr>
                <w:rFonts w:ascii="Times New Roman" w:hAnsi="Times New Roman"/>
                <w:sz w:val="24"/>
              </w:rPr>
              <w:t xml:space="preserve"> этап</w:t>
            </w:r>
          </w:p>
        </w:tc>
        <w:tc>
          <w:tcPr>
            <w:tcW w:type="dxa" w:w="2811"/>
            <w:tcBorders>
              <w:right w:color="000000" w:sz="4" w:val="single"/>
            </w:tcBorders>
          </w:tcPr>
          <w:p w14:paraId="21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48"/>
            <w:tcBorders>
              <w:left w:color="000000" w:sz="4" w:val="single"/>
            </w:tcBorders>
          </w:tcPr>
          <w:p w14:paraId="22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87"/>
          </w:tcPr>
          <w:p w14:paraId="23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21"/>
          </w:tcPr>
          <w:p w14:paraId="24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0"/>
          </w:tcPr>
          <w:p w14:paraId="2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.1</w:t>
            </w:r>
          </w:p>
        </w:tc>
        <w:tc>
          <w:tcPr>
            <w:tcW w:type="dxa" w:w="2569"/>
          </w:tcPr>
          <w:p w14:paraId="2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Планирование закупок </w:t>
            </w:r>
            <w:r>
              <w:rPr>
                <w:rFonts w:ascii="Times New Roman" w:hAnsi="Times New Roman"/>
                <w:color w:val="000000"/>
                <w:sz w:val="24"/>
              </w:rPr>
              <w:t>посредством форм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рования, утверждения и ведения плана-графика </w:t>
            </w:r>
            <w:r>
              <w:rPr>
                <w:rFonts w:ascii="Times New Roman" w:hAnsi="Times New Roman"/>
                <w:color w:val="000000"/>
                <w:sz w:val="24"/>
              </w:rPr>
              <w:t>закупок</w:t>
            </w:r>
            <w:r>
              <w:rPr>
                <w:rFonts w:ascii="Times New Roman" w:hAnsi="Times New Roman"/>
                <w:sz w:val="24"/>
              </w:rPr>
              <w:t xml:space="preserve"> тов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ров, работ, услуг для обеспечения госуда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ственных (муниц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пальных) нужд К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ровской области </w:t>
            </w:r>
            <w:r>
              <w:rPr>
                <w:rFonts w:ascii="Times New Roman" w:hAnsi="Times New Roman"/>
                <w:sz w:val="24"/>
              </w:rPr>
              <w:t>(д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лее – закупки)</w:t>
            </w:r>
          </w:p>
        </w:tc>
        <w:tc>
          <w:tcPr>
            <w:tcW w:type="dxa" w:w="2811"/>
          </w:tcPr>
          <w:p w14:paraId="2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ланирование закупок, не относящихся к целям деятельности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8"/>
              </w:rPr>
              <w:t>МКУК «</w:t>
            </w:r>
            <w:r>
              <w:rPr>
                <w:rStyle w:val="Style_4_ch"/>
                <w:rFonts w:ascii="Times New Roman" w:hAnsi="Times New Roman"/>
                <w:sz w:val="28"/>
              </w:rPr>
              <w:t>Немская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 централ</w:t>
            </w:r>
            <w:r>
              <w:rPr>
                <w:rStyle w:val="Style_4_ch"/>
                <w:rFonts w:ascii="Times New Roman" w:hAnsi="Times New Roman"/>
                <w:sz w:val="28"/>
              </w:rPr>
              <w:t>ь</w:t>
            </w:r>
            <w:r>
              <w:rPr>
                <w:rStyle w:val="Style_4_ch"/>
                <w:rFonts w:ascii="Times New Roman" w:hAnsi="Times New Roman"/>
                <w:sz w:val="28"/>
              </w:rPr>
              <w:t>ная районная би</w:t>
            </w:r>
            <w:r>
              <w:rPr>
                <w:rStyle w:val="Style_4_ch"/>
                <w:rFonts w:ascii="Times New Roman" w:hAnsi="Times New Roman"/>
                <w:sz w:val="28"/>
              </w:rPr>
              <w:t>б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лиотека имени </w:t>
            </w:r>
            <w:r>
              <w:rPr>
                <w:rStyle w:val="Style_4_ch"/>
                <w:rFonts w:ascii="Times New Roman" w:hAnsi="Times New Roman"/>
                <w:sz w:val="28"/>
              </w:rPr>
              <w:t>М.И.Ожегова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(далее </w:t>
            </w: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Учреждение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  <w:tc>
          <w:tcPr>
            <w:tcW w:type="dxa" w:w="3048"/>
          </w:tcPr>
          <w:p w14:paraId="28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управля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>щий</w:t>
            </w:r>
          </w:p>
          <w:p w14:paraId="29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уководитель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2A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аботники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полняющие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 и </w:t>
            </w:r>
            <w:r>
              <w:rPr>
                <w:rFonts w:ascii="Times New Roman" w:hAnsi="Times New Roman"/>
                <w:color w:val="000000"/>
                <w:sz w:val="24"/>
              </w:rPr>
              <w:t>полномочия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данному вопросу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соответствии с распределением обязанн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стей </w:t>
            </w:r>
            <w:r>
              <w:rPr>
                <w:rFonts w:ascii="Times New Roman" w:hAnsi="Times New Roman"/>
                <w:color w:val="000000"/>
                <w:sz w:val="24"/>
              </w:rPr>
              <w:t>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B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87"/>
          </w:tcPr>
          <w:p w14:paraId="2C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азмещение плана-графика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закупок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единой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онной системе в сфере зак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пок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(далее </w:t>
            </w: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ЕИС)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D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утверждение и размещение в ЕИС правовых актов </w:t>
            </w:r>
            <w:r>
              <w:rPr>
                <w:rFonts w:ascii="Times New Roman" w:hAnsi="Times New Roman"/>
                <w:color w:val="000000"/>
                <w:sz w:val="24"/>
              </w:rPr>
              <w:t>о норм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ровании в сфере закупок: </w:t>
            </w:r>
          </w:p>
          <w:p w14:paraId="2E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ребования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отдельным в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дам товаров, работ, услуг (в том числе предельных цен т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варов, работ, услуг), закупа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мым Учреждением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14:paraId="2F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ормативные затраты </w:t>
            </w:r>
            <w:r>
              <w:rPr>
                <w:rFonts w:ascii="Times New Roman" w:hAnsi="Times New Roman"/>
                <w:color w:val="000000"/>
                <w:sz w:val="24"/>
              </w:rPr>
              <w:t>на обе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печение функций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Учреждения</w:t>
            </w:r>
          </w:p>
        </w:tc>
        <w:tc>
          <w:tcPr>
            <w:tcW w:type="dxa" w:w="2921"/>
          </w:tcPr>
          <w:p w14:paraId="30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едопущение </w:t>
            </w:r>
            <w:r>
              <w:rPr>
                <w:rFonts w:ascii="Times New Roman" w:hAnsi="Times New Roman"/>
                <w:color w:val="000000"/>
                <w:sz w:val="24"/>
              </w:rPr>
              <w:t>планиров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ния закупок, не относ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>щихся к целям деятельн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сти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 путем контроля формирования плана-графика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закупок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 соответствии с требов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ниями законодательства в сфере закупок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товаров, работ, услуг для обесп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чения государственных и муниципальных нужд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3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знакомление </w:t>
            </w:r>
            <w:r>
              <w:rPr>
                <w:rFonts w:ascii="Times New Roman" w:hAnsi="Times New Roman"/>
                <w:sz w:val="24"/>
              </w:rPr>
              <w:t>контрак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ного управляющего (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ководителя и </w:t>
            </w:r>
            <w:r>
              <w:rPr>
                <w:rFonts w:ascii="Times New Roman" w:hAnsi="Times New Roman"/>
                <w:sz w:val="24"/>
              </w:rPr>
              <w:t xml:space="preserve">работников контрактной </w:t>
            </w:r>
            <w:r>
              <w:rPr>
                <w:rFonts w:ascii="Times New Roman" w:hAnsi="Times New Roman"/>
                <w:sz w:val="24"/>
              </w:rPr>
              <w:t>службы Учреждения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с нормати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ными правовыми актами, регулирующи</w:t>
            </w:r>
            <w:r>
              <w:rPr>
                <w:rFonts w:ascii="Times New Roman" w:hAnsi="Times New Roman"/>
                <w:sz w:val="24"/>
              </w:rPr>
              <w:t>ми</w:t>
            </w:r>
            <w:r>
              <w:rPr>
                <w:rFonts w:ascii="Times New Roman" w:hAnsi="Times New Roman"/>
                <w:sz w:val="24"/>
              </w:rPr>
              <w:t xml:space="preserve"> вопросы профилактики и против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действия коррупции</w:t>
            </w:r>
          </w:p>
        </w:tc>
      </w:tr>
      <w:tr>
        <w:tc>
          <w:tcPr>
            <w:tcW w:type="dxa" w:w="540"/>
          </w:tcPr>
          <w:p w14:paraId="3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569"/>
          </w:tcPr>
          <w:p w14:paraId="33000000">
            <w:pPr>
              <w:tabs>
                <w:tab w:leader="none" w:pos="10348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Обоснование начал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ной (максимальной) цены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(муниципального)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контракта, </w:t>
            </w:r>
            <w:r>
              <w:rPr>
                <w:rFonts w:ascii="Times New Roman" w:hAnsi="Times New Roman"/>
                <w:sz w:val="24"/>
              </w:rPr>
              <w:t>цены</w:t>
            </w:r>
            <w:r>
              <w:rPr>
                <w:rFonts w:ascii="Times New Roman" w:hAnsi="Times New Roman"/>
                <w:sz w:val="24"/>
              </w:rPr>
              <w:t xml:space="preserve"> гос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дарственного (мун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ципального)</w:t>
            </w:r>
            <w:r>
              <w:rPr>
                <w:rFonts w:ascii="Times New Roman" w:hAnsi="Times New Roman"/>
                <w:sz w:val="24"/>
              </w:rPr>
              <w:t xml:space="preserve"> контра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та, заключаемого с единственным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ставщиком (подря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чиком, исполнителем), начальной суммы цен единиц товара, раб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ты, услуги (далее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– НМЦК)</w:t>
            </w:r>
          </w:p>
          <w:p w14:paraId="34000000">
            <w:pPr>
              <w:tabs>
                <w:tab w:leader="none" w:pos="10348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5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36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11"/>
          </w:tcPr>
          <w:p w14:paraId="3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спользование завыше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ных ценовых предлож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ний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потенциальных участников закупки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существление расчета НМЦК без учета цен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вых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тенциальных участников закупки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общедоступной информации о рыно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 xml:space="preserve">ных ценах </w:t>
            </w:r>
            <w:r>
              <w:rPr>
                <w:rFonts w:ascii="Times New Roman" w:hAnsi="Times New Roman"/>
                <w:color w:val="000000"/>
                <w:sz w:val="24"/>
              </w:rPr>
              <w:t>на закупа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товар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>, работ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>, услуг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  <w:p w14:paraId="39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48"/>
          </w:tcPr>
          <w:p w14:paraId="3A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управля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>щий</w:t>
            </w:r>
          </w:p>
          <w:p w14:paraId="3B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уководитель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3C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аботники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полняющие функции и полномочия по данному вопросу в соответствии с распределением обязанн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3D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отрудники с</w:t>
            </w:r>
            <w:r>
              <w:rPr>
                <w:rFonts w:ascii="Times New Roman" w:hAnsi="Times New Roman"/>
                <w:color w:val="000000"/>
                <w:sz w:val="24"/>
              </w:rPr>
              <w:t>труктурных подразделений Учрежд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(инициатор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закуп</w:t>
            </w:r>
            <w:r>
              <w:rPr>
                <w:rFonts w:ascii="Times New Roman" w:hAnsi="Times New Roman"/>
                <w:color w:val="000000"/>
                <w:sz w:val="24"/>
              </w:rPr>
              <w:t>ки</w:t>
            </w:r>
            <w:r>
              <w:rPr>
                <w:rFonts w:ascii="Times New Roman" w:hAnsi="Times New Roman"/>
                <w:color w:val="000000"/>
                <w:sz w:val="24"/>
              </w:rPr>
              <w:t>), участвующие в обоснов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нии НМЦК</w:t>
            </w:r>
          </w:p>
          <w:p w14:paraId="3E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87"/>
          </w:tcPr>
          <w:p w14:paraId="3F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боснование НМЦК в соо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Федеральным 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коном от 05.04.2013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№ 44-ФЗ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«О контрактной системе в сфере закупок товаров, работ, услуг для обеспечения гос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дарственных и муниципал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ных нужд» (далее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Фед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ральный 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  05.04.2013 № 44-ФЗ)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40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етодических рекомендаций по применению методов определения начал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ной (максимальной) цены контракта, цены контракта, заключаемого с единственным поставщиком (подрядчиком, исполнителем)</w:t>
            </w:r>
            <w:r>
              <w:rPr>
                <w:rFonts w:ascii="Times New Roman" w:hAnsi="Times New Roman"/>
                <w:color w:val="000000"/>
                <w:sz w:val="24"/>
              </w:rPr>
              <w:t>, утвержденных п</w:t>
            </w:r>
            <w:r>
              <w:rPr>
                <w:rFonts w:ascii="Times New Roman" w:hAnsi="Times New Roman"/>
                <w:color w:val="000000"/>
                <w:sz w:val="24"/>
              </w:rPr>
              <w:t>риказ</w:t>
            </w:r>
            <w:r>
              <w:rPr>
                <w:rFonts w:ascii="Times New Roman" w:hAnsi="Times New Roman"/>
                <w:color w:val="000000"/>
                <w:sz w:val="24"/>
              </w:rPr>
              <w:t>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Министерств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эк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номического развития Ро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>от 02.10.2013 № 567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Об утве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ждении Методических рек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мендаций по применению 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тодов определения начальной </w:t>
            </w:r>
            <w:r>
              <w:rPr>
                <w:rFonts w:ascii="Times New Roman" w:hAnsi="Times New Roman"/>
                <w:sz w:val="24"/>
              </w:rPr>
              <w:t>(максимальной) цены 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тракта, цены контракта,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ключаемого с единственным поставщиком (подрядчиком, исполнителем)</w:t>
            </w:r>
            <w:r>
              <w:rPr>
                <w:rFonts w:ascii="Times New Roman" w:hAnsi="Times New Roman"/>
                <w:color w:val="000000"/>
                <w:sz w:val="24"/>
              </w:rPr>
              <w:t>»;</w:t>
            </w:r>
          </w:p>
          <w:p w14:paraId="41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римене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правовых актов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нормировании в сфере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закупок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4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окументальное оформление обоснования НМЦК</w:t>
            </w:r>
          </w:p>
        </w:tc>
        <w:tc>
          <w:tcPr>
            <w:tcW w:type="dxa" w:w="2921"/>
          </w:tcPr>
          <w:p w14:paraId="43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сестороннее исследов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ние рынка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целях нед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пущения завышения НМЦК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44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инимизация личного взаимодействия между должностными лицами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государственного (мун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ципального) заказчика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потенциальными учас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никами закупок</w:t>
            </w:r>
          </w:p>
          <w:p w14:paraId="45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0"/>
          </w:tcPr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569"/>
          </w:tcPr>
          <w:p w14:paraId="4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 способа опр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деления поставщик</w:t>
            </w:r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(подрядчик</w:t>
            </w:r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 испо</w:t>
            </w: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</w:rPr>
              <w:t>нител</w:t>
            </w:r>
            <w:r>
              <w:rPr>
                <w:rFonts w:ascii="Times New Roman" w:hAnsi="Times New Roman"/>
                <w:color w:val="000000"/>
                <w:sz w:val="24"/>
              </w:rPr>
              <w:t>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  <w:tc>
          <w:tcPr>
            <w:tcW w:type="dxa" w:w="2811"/>
          </w:tcPr>
          <w:p w14:paraId="4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еправомерный выбор </w:t>
            </w:r>
            <w:r>
              <w:rPr>
                <w:rFonts w:ascii="Times New Roman" w:hAnsi="Times New Roman"/>
                <w:color w:val="000000"/>
                <w:sz w:val="24"/>
              </w:rPr>
              <w:t>способа определения п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ставщиков (подрядч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ков, исполнителей)</w:t>
            </w:r>
          </w:p>
        </w:tc>
        <w:tc>
          <w:tcPr>
            <w:tcW w:type="dxa" w:w="3048"/>
          </w:tcPr>
          <w:p w14:paraId="49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управля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>щий</w:t>
            </w:r>
          </w:p>
          <w:p w14:paraId="4A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уководитель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4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аботники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полняющие функции и полномочия по данному вопросу в соответствии с распределением обязанн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стей </w:t>
            </w:r>
            <w:r>
              <w:rPr>
                <w:rFonts w:ascii="Times New Roman" w:hAnsi="Times New Roman"/>
                <w:color w:val="000000"/>
                <w:sz w:val="24"/>
              </w:rPr>
              <w:t>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type="dxa" w:w="3387"/>
          </w:tcPr>
          <w:p w14:paraId="4C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пределение способа выбора поставщика (подрядчика, 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полнителя) в соответствии с Федеральным законом от 05.04.2013 № 44-ФЗ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4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нутренний контроль (п</w:t>
            </w:r>
            <w:r>
              <w:rPr>
                <w:rFonts w:ascii="Times New Roman" w:hAnsi="Times New Roman"/>
                <w:sz w:val="24"/>
              </w:rPr>
              <w:t>рове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ка документов по закупке на соответствие требованиям действующего законодател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ства в сфере закупок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2921"/>
          </w:tcPr>
          <w:p w14:paraId="4E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едопущение неправ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мерного выбора способа определения поставщиков (подрядчиков, исполн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телей)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4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инимизация личного взаимодействия между должностными лицами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государственного (мун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ципального)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потенц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альными участниками 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купок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540"/>
          </w:tcPr>
          <w:p w14:paraId="5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569"/>
          </w:tcPr>
          <w:p w14:paraId="5100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Подготовка технич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ского задания (опис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 объекта закупки), проекта государстве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ного </w:t>
            </w:r>
            <w:r>
              <w:rPr>
                <w:rFonts w:ascii="Times New Roman" w:hAnsi="Times New Roman"/>
                <w:sz w:val="24"/>
              </w:rPr>
              <w:t>(муниципальн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го) </w:t>
            </w:r>
            <w:r>
              <w:rPr>
                <w:rFonts w:ascii="Times New Roman" w:hAnsi="Times New Roman"/>
                <w:sz w:val="24"/>
              </w:rPr>
              <w:t>контракта</w:t>
            </w:r>
          </w:p>
        </w:tc>
        <w:tc>
          <w:tcPr>
            <w:tcW w:type="dxa" w:w="2811"/>
          </w:tcPr>
          <w:p w14:paraId="52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ключение в описание объекта закупки хара</w:t>
            </w: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теристик товаров, работ, услуг и (или) включение в проект государстве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(муниципального)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контракта условий о п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ставке товаров (выпо</w:t>
            </w: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нении работ, оказании услуг), ограничивающих участие в закупке других </w:t>
            </w:r>
            <w:r>
              <w:rPr>
                <w:rFonts w:ascii="Times New Roman" w:hAnsi="Times New Roman"/>
                <w:color w:val="000000"/>
                <w:sz w:val="24"/>
              </w:rPr>
              <w:t>поставщиков (подрядч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ков, исполнителей), то есть создание условий для определенного п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ставщика (подрядчика, исполнителя)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53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бъединение в одном лоте товаров, работ, услуг, функционально и технологически не св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>занных между собой с целью ограничения кр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га возможных участн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ков закупки</w:t>
            </w:r>
          </w:p>
        </w:tc>
        <w:tc>
          <w:tcPr>
            <w:tcW w:type="dxa" w:w="3048"/>
          </w:tcPr>
          <w:p w14:paraId="54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управля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>щий</w:t>
            </w:r>
          </w:p>
          <w:p w14:paraId="55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уководитель контрак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56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аботники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полняющие функции и полномочия по данному вопросу в соответствии с распределением обязанн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стей 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57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отрудники структурных подраздел</w:t>
            </w:r>
            <w:r>
              <w:rPr>
                <w:rFonts w:ascii="Times New Roman" w:hAnsi="Times New Roman"/>
                <w:color w:val="000000"/>
                <w:sz w:val="24"/>
              </w:rPr>
              <w:t>ений Учрежд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(инициатора закупки), участвующие в подготовке описания объекта закупки</w:t>
            </w:r>
          </w:p>
          <w:p w14:paraId="58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3387"/>
          </w:tcPr>
          <w:p w14:paraId="5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одготовка технического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дания (описания объекта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купки) в соответствии с тр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бованиями статьи 33 </w:t>
            </w:r>
            <w:r>
              <w:rPr>
                <w:rFonts w:ascii="Times New Roman" w:hAnsi="Times New Roman"/>
                <w:color w:val="000000"/>
                <w:sz w:val="24"/>
              </w:rPr>
              <w:t>Фед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рального закона от 05.04.2013 № 44-ФЗ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5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облюдение требований ст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тьи 17 Федерального закона от 26.07.2006 № 135-ФЗ «О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защите конкуренции»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5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нутреннего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</w:t>
            </w:r>
            <w:r>
              <w:rPr>
                <w:rFonts w:ascii="Times New Roman" w:hAnsi="Times New Roman"/>
                <w:sz w:val="24"/>
              </w:rPr>
              <w:t>троля</w:t>
            </w:r>
            <w:r>
              <w:rPr>
                <w:rFonts w:ascii="Times New Roman" w:hAnsi="Times New Roman"/>
                <w:sz w:val="24"/>
              </w:rPr>
              <w:t xml:space="preserve"> (проверка докуме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тов по закупке на соотве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ствие требованиям действу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щего законодательства в сф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ре закупок)</w:t>
            </w:r>
          </w:p>
          <w:p w14:paraId="5C000000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2921"/>
          </w:tcPr>
          <w:p w14:paraId="5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 xml:space="preserve">апрет на неправомерное включение </w:t>
            </w:r>
            <w:r>
              <w:rPr>
                <w:rFonts w:ascii="Times New Roman" w:hAnsi="Times New Roman"/>
                <w:color w:val="000000"/>
                <w:sz w:val="24"/>
              </w:rPr>
              <w:t>в описание объекта закупки характ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ристик товаров, работ, услуг и (или) включение в проект государственного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(муниципального)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тракта условий, огран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чивающих конкуренцию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5E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инимизация личного взаимодействия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должностными лицами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государственного (мун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ципального) заказчика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потенциальными учас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никами закупок</w:t>
            </w:r>
          </w:p>
          <w:p w14:paraId="5F000000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>
        <w:tc>
          <w:tcPr>
            <w:tcW w:type="dxa" w:w="540"/>
          </w:tcPr>
          <w:p w14:paraId="6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569"/>
          </w:tcPr>
          <w:p w14:paraId="61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Процедурный этап</w:t>
            </w:r>
          </w:p>
        </w:tc>
        <w:tc>
          <w:tcPr>
            <w:tcW w:type="dxa" w:w="2811"/>
          </w:tcPr>
          <w:p w14:paraId="62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48"/>
          </w:tcPr>
          <w:p w14:paraId="63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87"/>
          </w:tcPr>
          <w:p w14:paraId="64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21"/>
          </w:tcPr>
          <w:p w14:paraId="65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0"/>
          </w:tcPr>
          <w:p w14:paraId="6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69"/>
          </w:tcPr>
          <w:p w14:paraId="6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поста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щиков (подрядчиков, исполнителей)</w:t>
            </w:r>
          </w:p>
        </w:tc>
        <w:tc>
          <w:tcPr>
            <w:tcW w:type="dxa" w:w="2811"/>
          </w:tcPr>
          <w:p w14:paraId="68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редъявление завыше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ных требований к учас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никам закупки, в том числе в отношении оп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>та, наличия лицензий, сертификатов и др</w:t>
            </w:r>
            <w:r>
              <w:rPr>
                <w:rFonts w:ascii="Times New Roman" w:hAnsi="Times New Roman"/>
                <w:color w:val="000000"/>
                <w:sz w:val="24"/>
              </w:rPr>
              <w:t>уг</w:t>
            </w:r>
            <w:r>
              <w:rPr>
                <w:rFonts w:ascii="Times New Roman" w:hAnsi="Times New Roman"/>
                <w:color w:val="000000"/>
                <w:sz w:val="24"/>
              </w:rPr>
              <w:t>их документов</w:t>
            </w:r>
            <w:r>
              <w:rPr>
                <w:rFonts w:ascii="Times New Roman" w:hAnsi="Times New Roman"/>
                <w:color w:val="000000"/>
                <w:sz w:val="24"/>
              </w:rPr>
              <w:t>, не относ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>щи</w:t>
            </w: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ся к объекту заку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ки, наличия критериев оценки, соответствие которым сложно по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твердить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69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несение изменений в извещение об осущест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лении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закуп</w:t>
            </w:r>
            <w:r>
              <w:rPr>
                <w:rFonts w:ascii="Times New Roman" w:hAnsi="Times New Roman"/>
                <w:color w:val="000000"/>
                <w:sz w:val="24"/>
              </w:rPr>
              <w:t>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путем установления дополн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тельных требований к объекту закупки, изм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нения его отдельных х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рактеристик, наличия двусмысленных форм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лировок и др</w:t>
            </w:r>
            <w:r>
              <w:rPr>
                <w:rFonts w:ascii="Times New Roman" w:hAnsi="Times New Roman"/>
                <w:color w:val="000000"/>
                <w:sz w:val="24"/>
              </w:rPr>
              <w:t>угое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ц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лью усложнения проце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са подготовки заявок на участие в закупке</w:t>
            </w:r>
          </w:p>
          <w:p w14:paraId="6A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048"/>
          </w:tcPr>
          <w:p w14:paraId="6B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управля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>щий</w:t>
            </w:r>
          </w:p>
          <w:p w14:paraId="6C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уководитель контрак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6D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аботники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полняющие функции и полномочия по данному вопросу в соответствии с распределением обязанн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стей 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6E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87"/>
          </w:tcPr>
          <w:p w14:paraId="6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осуществление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нутреннего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</w:t>
            </w:r>
            <w:r>
              <w:rPr>
                <w:rFonts w:ascii="Times New Roman" w:hAnsi="Times New Roman"/>
                <w:color w:val="000000"/>
                <w:sz w:val="24"/>
              </w:rPr>
              <w:t>троля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</w:t>
            </w:r>
            <w:r>
              <w:rPr>
                <w:rFonts w:ascii="Times New Roman" w:hAnsi="Times New Roman"/>
                <w:sz w:val="24"/>
              </w:rPr>
              <w:t>роверка докуме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тов по закупке, изменений в </w:t>
            </w:r>
            <w:r>
              <w:rPr>
                <w:rFonts w:ascii="Times New Roman" w:hAnsi="Times New Roman"/>
                <w:sz w:val="24"/>
              </w:rPr>
              <w:t>извещении об осуществлении закупки н</w:t>
            </w:r>
            <w:r>
              <w:rPr>
                <w:rFonts w:ascii="Times New Roman" w:hAnsi="Times New Roman"/>
                <w:sz w:val="24"/>
              </w:rPr>
              <w:t>а соответствие тр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бованиям действующего зак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нодательства в сфере закупок)</w:t>
            </w:r>
          </w:p>
          <w:p w14:paraId="70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21"/>
          </w:tcPr>
          <w:p w14:paraId="71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>апрет на умышленное предъявление завыше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ных требований к учас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никам закупки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72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инимизация личного взаимодействия между должностными лицами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государственного (мун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ципального) заказчика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потенциальными учас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никами закупок</w:t>
            </w:r>
          </w:p>
          <w:p w14:paraId="73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0"/>
          </w:tcPr>
          <w:p w14:paraId="7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569"/>
          </w:tcPr>
          <w:p w14:paraId="7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Заключение госуда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ственного</w:t>
            </w:r>
            <w:r>
              <w:rPr>
                <w:rFonts w:ascii="Times New Roman" w:hAnsi="Times New Roman"/>
                <w:sz w:val="24"/>
              </w:rPr>
              <w:t xml:space="preserve"> (муниц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пального)</w:t>
            </w:r>
            <w:r>
              <w:rPr>
                <w:rFonts w:ascii="Times New Roman" w:hAnsi="Times New Roman"/>
                <w:sz w:val="24"/>
              </w:rPr>
              <w:t xml:space="preserve"> контракта</w:t>
            </w:r>
          </w:p>
        </w:tc>
        <w:tc>
          <w:tcPr>
            <w:tcW w:type="dxa" w:w="2811"/>
          </w:tcPr>
          <w:p w14:paraId="76000000">
            <w:pPr>
              <w:widowControl w:val="0"/>
              <w:tabs>
                <w:tab w:leader="none" w:pos="317" w:val="left"/>
                <w:tab w:leader="none" w:pos="1625" w:val="left"/>
              </w:tabs>
              <w:ind w:firstLine="11" w:left="2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(муниципал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ного)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акта до предоставления поста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щиком (подрядчиком,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исполнителем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обесп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чения исполнения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гос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дарственного (муниц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контракта в соответствии с Фед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ральным законом</w:t>
            </w:r>
            <w:r>
              <w:rPr>
                <w:rFonts w:ascii="Times New Roman" w:hAnsi="Times New Roman"/>
                <w:sz w:val="24"/>
              </w:rPr>
              <w:t xml:space="preserve"> от 05.04.2013 № 44-ФЗ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77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еобоснованный отказ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государственного (м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ниципального)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заказчика от заключения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ственного (муниципал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ного)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контракта</w:t>
            </w:r>
          </w:p>
          <w:p w14:paraId="78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048"/>
          </w:tcPr>
          <w:p w14:paraId="79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управля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>щий</w:t>
            </w:r>
          </w:p>
          <w:p w14:paraId="7A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уководитель контрак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7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аботники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полняющие функции и полномочия по данному вопросу в соответствии с распределением обязанн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стей 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type="dxa" w:w="3387"/>
          </w:tcPr>
          <w:p w14:paraId="7C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пределение ответственного лица за заключение госуда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(муниципального)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контракта</w:t>
            </w:r>
          </w:p>
          <w:p w14:paraId="7D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21"/>
          </w:tcPr>
          <w:p w14:paraId="7E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>аключение госуда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(муниципал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ного) </w:t>
            </w:r>
            <w:r>
              <w:rPr>
                <w:rFonts w:ascii="Times New Roman" w:hAnsi="Times New Roman"/>
                <w:color w:val="000000"/>
                <w:sz w:val="24"/>
              </w:rPr>
              <w:t>конт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акта в строгом соответствии с требов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ниями, установленными </w:t>
            </w:r>
            <w:r>
              <w:rPr>
                <w:rFonts w:ascii="Times New Roman" w:hAnsi="Times New Roman"/>
                <w:sz w:val="24"/>
              </w:rPr>
              <w:t>Федеральн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м закон</w:t>
            </w:r>
            <w:r>
              <w:rPr>
                <w:rFonts w:ascii="Times New Roman" w:hAnsi="Times New Roman"/>
                <w:sz w:val="24"/>
              </w:rPr>
              <w:t>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 05.04.2013 №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44-ФЗ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7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инимизация личного взаимодействия между должностными лицами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государственного (мун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ципальн</w:t>
            </w:r>
            <w:r>
              <w:rPr>
                <w:rFonts w:ascii="Times New Roman" w:hAnsi="Times New Roman"/>
                <w:color w:val="000000"/>
                <w:sz w:val="24"/>
              </w:rPr>
              <w:t>ого) заказчика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потенциальными учас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никами закупок</w:t>
            </w:r>
          </w:p>
        </w:tc>
      </w:tr>
      <w:tr>
        <w:tc>
          <w:tcPr>
            <w:tcW w:type="dxa" w:w="540"/>
          </w:tcPr>
          <w:p w14:paraId="8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569"/>
          </w:tcPr>
          <w:p w14:paraId="81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Пост</w:t>
            </w:r>
            <w:r>
              <w:rPr>
                <w:rFonts w:ascii="Times New Roman" w:hAnsi="Times New Roman"/>
                <w:sz w:val="24"/>
              </w:rPr>
              <w:t>процедурный</w:t>
            </w:r>
            <w:r>
              <w:rPr>
                <w:rFonts w:ascii="Times New Roman" w:hAnsi="Times New Roman"/>
                <w:sz w:val="24"/>
              </w:rPr>
              <w:t xml:space="preserve"> этап</w:t>
            </w:r>
          </w:p>
        </w:tc>
        <w:tc>
          <w:tcPr>
            <w:tcW w:type="dxa" w:w="2811"/>
          </w:tcPr>
          <w:p w14:paraId="82000000">
            <w:pPr>
              <w:widowControl w:val="0"/>
              <w:tabs>
                <w:tab w:leader="none" w:pos="317" w:val="left"/>
                <w:tab w:leader="none" w:pos="1625" w:val="left"/>
              </w:tabs>
              <w:ind w:firstLine="11" w:left="23"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type="dxa" w:w="3048"/>
          </w:tcPr>
          <w:p w14:paraId="83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type="dxa" w:w="3387"/>
          </w:tcPr>
          <w:p w14:paraId="84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type="dxa" w:w="2921"/>
          </w:tcPr>
          <w:p w14:paraId="85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</w:tr>
      <w:tr>
        <w:tc>
          <w:tcPr>
            <w:tcW w:type="dxa" w:w="540"/>
          </w:tcPr>
          <w:p w14:paraId="8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type="dxa" w:w="2569"/>
          </w:tcPr>
          <w:p w14:paraId="8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 госуда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ственного</w:t>
            </w:r>
            <w:r>
              <w:rPr>
                <w:rFonts w:ascii="Times New Roman" w:hAnsi="Times New Roman"/>
                <w:sz w:val="24"/>
              </w:rPr>
              <w:t xml:space="preserve"> (муниц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пального)</w:t>
            </w:r>
            <w:r>
              <w:rPr>
                <w:rFonts w:ascii="Times New Roman" w:hAnsi="Times New Roman"/>
                <w:sz w:val="24"/>
              </w:rPr>
              <w:t xml:space="preserve"> конт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акта</w:t>
            </w:r>
          </w:p>
        </w:tc>
        <w:tc>
          <w:tcPr>
            <w:tcW w:type="dxa" w:w="2811"/>
          </w:tcPr>
          <w:p w14:paraId="88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апрос у поставщика </w:t>
            </w:r>
            <w:r>
              <w:rPr>
                <w:rFonts w:ascii="Times New Roman" w:hAnsi="Times New Roman"/>
                <w:sz w:val="24"/>
              </w:rPr>
              <w:t>(подрядчика, исполнит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ля) </w:t>
            </w:r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предусмотренных условиями госуда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(муниципал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ного)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контракта док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ментов и (или) сведений при исполнении </w:t>
            </w:r>
            <w:r>
              <w:rPr>
                <w:rFonts w:ascii="Times New Roman" w:hAnsi="Times New Roman"/>
                <w:color w:val="000000"/>
                <w:sz w:val="24"/>
              </w:rPr>
              <w:t>гос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дарственного (муниц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контракта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89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атягивание со стороны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государственного (м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ниципального)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заказчика сроков предоставления информации, необход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мых материалов для 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полнения предусмотре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государственным (муниципальным) </w:t>
            </w:r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трактом обязательств поставщика </w:t>
            </w:r>
            <w:r>
              <w:rPr>
                <w:rFonts w:ascii="Times New Roman" w:hAnsi="Times New Roman"/>
                <w:sz w:val="24"/>
              </w:rPr>
              <w:t>(подрядч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ка, исполнителя)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8A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риемка и (или) оплата товара, работы, услуги, которые в действител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ности не поставлены (не выполнены, не оказаны) либо не соответствуют условиям государстве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(муниципального)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контракта</w:t>
            </w:r>
          </w:p>
        </w:tc>
        <w:tc>
          <w:tcPr>
            <w:tcW w:type="dxa" w:w="3048"/>
          </w:tcPr>
          <w:p w14:paraId="8B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управля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>щий</w:t>
            </w:r>
          </w:p>
          <w:p w14:paraId="8C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уководитель контрак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8D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аботники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полняющие функции и полномочия по данному вопросу в соответствии с распределением обязанн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стей 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8E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отрудники с</w:t>
            </w:r>
            <w:r>
              <w:rPr>
                <w:rFonts w:ascii="Times New Roman" w:hAnsi="Times New Roman"/>
                <w:color w:val="000000"/>
                <w:sz w:val="24"/>
              </w:rPr>
              <w:t>труктурных подразделений Учрежд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(инициатора закупки), указанные в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ном (муниципальном) </w:t>
            </w:r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тракте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качестве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отве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ственны</w:t>
            </w: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лиц </w:t>
            </w:r>
            <w:r>
              <w:rPr>
                <w:rFonts w:ascii="Times New Roman" w:hAnsi="Times New Roman"/>
                <w:color w:val="000000"/>
                <w:sz w:val="24"/>
              </w:rPr>
              <w:t>госуда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ственного (муниципальн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го) </w:t>
            </w:r>
            <w:r>
              <w:rPr>
                <w:rFonts w:ascii="Times New Roman" w:hAnsi="Times New Roman"/>
                <w:color w:val="000000"/>
                <w:sz w:val="24"/>
              </w:rPr>
              <w:t>заказчика при исполн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нии обязательств по </w:t>
            </w:r>
            <w:r>
              <w:rPr>
                <w:rFonts w:ascii="Times New Roman" w:hAnsi="Times New Roman"/>
                <w:color w:val="000000"/>
                <w:sz w:val="24"/>
              </w:rPr>
              <w:t>гос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дарственному (муниц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пальному)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контракту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8F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ответственные лица за приемку товаров, работ, услуг (приемочная </w:t>
            </w:r>
          </w:p>
          <w:p w14:paraId="90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комиссия)</w:t>
            </w:r>
          </w:p>
          <w:p w14:paraId="91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387"/>
          </w:tcPr>
          <w:p w14:paraId="9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пределение</w:t>
            </w:r>
            <w:r>
              <w:rPr>
                <w:rFonts w:ascii="Times New Roman" w:hAnsi="Times New Roman"/>
                <w:sz w:val="24"/>
              </w:rPr>
              <w:t xml:space="preserve"> ответственного лица при исполнении обяз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тельств по государственному</w:t>
            </w:r>
            <w:r>
              <w:rPr>
                <w:rFonts w:ascii="Times New Roman" w:hAnsi="Times New Roman"/>
                <w:sz w:val="24"/>
              </w:rPr>
              <w:t xml:space="preserve"> (муниципальному)</w:t>
            </w:r>
            <w:r>
              <w:rPr>
                <w:rFonts w:ascii="Times New Roman" w:hAnsi="Times New Roman"/>
                <w:sz w:val="24"/>
              </w:rPr>
              <w:t xml:space="preserve"> контракту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азначение</w:t>
            </w:r>
            <w:r>
              <w:rPr>
                <w:rFonts w:ascii="Times New Roman" w:hAnsi="Times New Roman"/>
                <w:sz w:val="24"/>
              </w:rPr>
              <w:t xml:space="preserve"> ответственных лиц за приемку товаров, работ, услуг (приемочная комиссия)</w:t>
            </w:r>
          </w:p>
          <w:p w14:paraId="94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921"/>
          </w:tcPr>
          <w:p w14:paraId="95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сполнение госуда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(муниципал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ного)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акта в строгом соответствии с требов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ниями, установленными в данном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государственном (муниципальном) </w:t>
            </w:r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тракте</w:t>
            </w:r>
          </w:p>
          <w:p w14:paraId="96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40"/>
          </w:tcPr>
          <w:p w14:paraId="9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type="dxa" w:w="2569"/>
          </w:tcPr>
          <w:p w14:paraId="98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претензионно</w:t>
            </w:r>
            <w:r>
              <w:rPr>
                <w:rFonts w:ascii="Times New Roman" w:hAnsi="Times New Roman"/>
                <w:color w:val="000000"/>
                <w:sz w:val="24"/>
              </w:rPr>
              <w:t>-исковой работы</w:t>
            </w:r>
          </w:p>
        </w:tc>
        <w:tc>
          <w:tcPr>
            <w:tcW w:type="dxa" w:w="2811"/>
          </w:tcPr>
          <w:p w14:paraId="99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мышленное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невыпо</w:t>
            </w: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</w:rPr>
              <w:t>нение (ненадлежащее выполнение)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претенз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онно</w:t>
            </w:r>
            <w:r>
              <w:rPr>
                <w:rFonts w:ascii="Times New Roman" w:hAnsi="Times New Roman"/>
                <w:color w:val="000000"/>
                <w:sz w:val="24"/>
              </w:rPr>
              <w:t>-исковой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случаях неисполнения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или ненадлежащего 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полнения поставщиком (подрядчиком, исполн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телем) обязательств, предусмотренных гос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дарственным (муниц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пальным) контрактом</w:t>
            </w:r>
          </w:p>
        </w:tc>
        <w:tc>
          <w:tcPr>
            <w:tcW w:type="dxa" w:w="3048"/>
          </w:tcPr>
          <w:p w14:paraId="9A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управля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>щий</w:t>
            </w:r>
          </w:p>
          <w:p w14:paraId="9B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уководитель контрак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ной службы Учреждения;</w:t>
            </w:r>
          </w:p>
          <w:p w14:paraId="9C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аботники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полняющие функции и полномочия по данному вопросу в соответствии с распределением обязанн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стей 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 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9D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type="dxa" w:w="3387"/>
          </w:tcPr>
          <w:p w14:paraId="9E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претензионно</w:t>
            </w:r>
            <w:r>
              <w:rPr>
                <w:rFonts w:ascii="Times New Roman" w:hAnsi="Times New Roman"/>
                <w:color w:val="000000"/>
                <w:sz w:val="24"/>
              </w:rPr>
              <w:t>-исковой работы в соотве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ствии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требованиями </w:t>
            </w:r>
            <w:r>
              <w:rPr>
                <w:rFonts w:ascii="Times New Roman" w:hAnsi="Times New Roman"/>
                <w:color w:val="000000"/>
                <w:sz w:val="24"/>
              </w:rPr>
              <w:t>Фед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ральн</w:t>
            </w:r>
            <w:r>
              <w:rPr>
                <w:rFonts w:ascii="Times New Roman" w:hAnsi="Times New Roman"/>
                <w:color w:val="000000"/>
                <w:sz w:val="24"/>
              </w:rPr>
              <w:t>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закон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 05.04.2013 № 44-ФЗ</w:t>
            </w:r>
          </w:p>
        </w:tc>
        <w:tc>
          <w:tcPr>
            <w:tcW w:type="dxa" w:w="2921"/>
          </w:tcPr>
          <w:p w14:paraId="9F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строгое исполнение тр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бований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ого </w:t>
            </w:r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05.04.2013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№ 44-ФЗ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части выпо</w:t>
            </w: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</w:rPr>
              <w:t>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претензионно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-исковой работы в случае </w:t>
            </w:r>
            <w:r>
              <w:rPr>
                <w:rFonts w:ascii="Times New Roman" w:hAnsi="Times New Roman"/>
                <w:color w:val="000000"/>
                <w:sz w:val="24"/>
              </w:rPr>
              <w:t>неисполнения или нена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лежащего исполнения п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ставщиком (подрядчиком, исполнителем) обяз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тельств, предусмотре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ных государственным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(муниципальным)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трактом</w:t>
            </w:r>
          </w:p>
        </w:tc>
      </w:tr>
      <w:tr>
        <w:tc>
          <w:tcPr>
            <w:tcW w:type="dxa" w:w="540"/>
          </w:tcPr>
          <w:p w14:paraId="A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69"/>
          </w:tcPr>
          <w:p w14:paraId="A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коррупцио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ные</w:t>
            </w:r>
            <w:r>
              <w:rPr>
                <w:rFonts w:ascii="Times New Roman" w:hAnsi="Times New Roman"/>
                <w:sz w:val="24"/>
              </w:rPr>
              <w:t xml:space="preserve"> риски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возника-ющие</w:t>
            </w:r>
            <w:r>
              <w:rPr>
                <w:rFonts w:ascii="Times New Roman" w:hAnsi="Times New Roman"/>
                <w:sz w:val="24"/>
              </w:rPr>
              <w:t xml:space="preserve"> при осущест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лении закупок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A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  <w:tc>
          <w:tcPr>
            <w:tcW w:type="dxa" w:w="2811"/>
          </w:tcPr>
          <w:p w14:paraId="A3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048"/>
          </w:tcPr>
          <w:p w14:paraId="A4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387"/>
          </w:tcPr>
          <w:p w14:paraId="A5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21"/>
          </w:tcPr>
          <w:p w14:paraId="A6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A7000000">
      <w:pPr>
        <w:ind/>
        <w:jc w:val="both"/>
      </w:pPr>
    </w:p>
    <w:p w14:paraId="A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</w:t>
      </w:r>
    </w:p>
    <w:p w14:paraId="A9000000">
      <w:pPr>
        <w:ind/>
        <w:jc w:val="center"/>
      </w:pPr>
      <w:r>
        <w:t>______________</w:t>
      </w:r>
    </w:p>
    <w:sectPr>
      <w:headerReference r:id="rId1" w:type="default"/>
      <w:pgSz w:h="11906" w:orient="landscape" w:w="16838"/>
      <w:pgMar w:bottom="624" w:footer="709" w:gutter="0" w:header="709" w:left="1134" w:right="1134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4"/>
      </w:rPr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footer"/>
    <w:basedOn w:val="Style_5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footer"/>
    <w:basedOn w:val="Style_5_ch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List Paragraph"/>
    <w:basedOn w:val="Style_5"/>
    <w:link w:val="Style_20_ch"/>
    <w:pPr>
      <w:ind w:firstLine="0" w:left="720"/>
      <w:contextualSpacing w:val="1"/>
    </w:pPr>
  </w:style>
  <w:style w:styleId="Style_20_ch" w:type="character">
    <w:name w:val="List Paragraph"/>
    <w:basedOn w:val="Style_5_ch"/>
    <w:link w:val="Style_20"/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Balloon Text"/>
    <w:basedOn w:val="Style_5"/>
    <w:link w:val="Style_29_ch"/>
    <w:pPr>
      <w:spacing w:after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5_ch"/>
    <w:link w:val="Style_29"/>
    <w:rPr>
      <w:rFonts w:ascii="Tahoma" w:hAnsi="Tahoma"/>
      <w:sz w:val="16"/>
    </w:rPr>
  </w:style>
  <w:style w:styleId="Style_3" w:type="table">
    <w:name w:val="Table Grid"/>
    <w:basedOn w:val="Style_3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2024-04-12T10:28:16Z</dcterms:modified>
</cp:coreProperties>
</file>