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2315" w14:textId="77777777" w:rsidR="000764A7" w:rsidRDefault="000764A7">
      <w:pPr>
        <w:pStyle w:val="a7"/>
      </w:pPr>
    </w:p>
    <w:p w14:paraId="3EA7D8A3" w14:textId="77777777" w:rsidR="000764A7" w:rsidRDefault="00777DC9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482EB04B" w14:textId="77777777" w:rsidR="000764A7" w:rsidRDefault="00777DC9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422E073C" w14:textId="77777777" w:rsidR="000764A7" w:rsidRDefault="00777DC9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7AD86867" w14:textId="77777777" w:rsidR="000764A7" w:rsidRDefault="00777DC9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5B2A2EED" w14:textId="77777777" w:rsidR="000764A7" w:rsidRDefault="000764A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7C572F82" w14:textId="77777777" w:rsidR="000764A7" w:rsidRDefault="00777DC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37C68045" w14:textId="77777777" w:rsidR="000764A7" w:rsidRDefault="00777DC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Директор Муниципального бюджетного учреждения культуры «Культурно-досуговый центр» Сосьвинского городского округа</w:t>
      </w:r>
    </w:p>
    <w:p w14:paraId="55339C39" w14:textId="77777777" w:rsidR="000764A7" w:rsidRDefault="00777DC9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37FD29A6" w14:textId="77777777" w:rsidR="000764A7" w:rsidRDefault="000764A7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06339136" w14:textId="1D3A6918" w:rsidR="000764A7" w:rsidRDefault="00777DC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</w:t>
      </w:r>
      <w:r w:rsidR="00536C0A"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__________________</w:t>
      </w:r>
    </w:p>
    <w:p w14:paraId="0356782C" w14:textId="77777777" w:rsidR="000764A7" w:rsidRDefault="00777DC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274CE243" w14:textId="77777777" w:rsidR="000764A7" w:rsidRDefault="000764A7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4B90F99C" w14:textId="77777777" w:rsidR="000764A7" w:rsidRDefault="00777DC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«_____» ______________ ____ года</w:t>
      </w:r>
    </w:p>
    <w:p w14:paraId="13C4A446" w14:textId="77777777" w:rsidR="000764A7" w:rsidRDefault="00777DC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79DED9A8" w14:textId="77777777" w:rsidR="000764A7" w:rsidRDefault="00777DC9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75510620" w14:textId="77777777" w:rsidR="000764A7" w:rsidRDefault="000764A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06502D2" w14:textId="77777777" w:rsidR="000764A7" w:rsidRDefault="00777DC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7E29FC3D" w14:textId="77777777" w:rsidR="000764A7" w:rsidRDefault="00777DC9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2BBEBB14" w14:textId="77777777" w:rsidR="000764A7" w:rsidRDefault="000764A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764A7" w14:paraId="1783F632" w14:textId="77777777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BF1D" w14:textId="77777777" w:rsidR="000764A7" w:rsidRDefault="00777DC9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94FF" w14:textId="77777777" w:rsidR="000764A7" w:rsidRDefault="00777DC9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3C88A3DF" w14:textId="77777777" w:rsidR="000764A7" w:rsidRDefault="000764A7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1037555" w14:textId="77777777" w:rsidR="000764A7" w:rsidRDefault="00777DC9">
      <w:pPr>
        <w:spacing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5CB9171E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объекта:   </w:t>
      </w:r>
      <w:proofErr w:type="gram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Романовский сельский Дом культуры</w:t>
      </w:r>
    </w:p>
    <w:p w14:paraId="43B8C08D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1.2. Полный почтовый адрес объекта: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624901, Свердловская область, Серовский район, с. Романово, ул. Центральная, д. 43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21BFB538" w14:textId="77777777" w:rsidR="000764A7" w:rsidRDefault="00777DC9">
      <w:pPr>
        <w:spacing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5297F092" w14:textId="77777777" w:rsidR="000764A7" w:rsidRDefault="00777DC9">
      <w:pPr>
        <w:shd w:val="clear" w:color="auto" w:fill="FFFFFF"/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здание (количество этажей) _____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1__, ____667,3__ кв. м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29F4F8F7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35FFF319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прилегающего земельного участка (да/нет), 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___нет____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м.</w:t>
      </w:r>
    </w:p>
    <w:p w14:paraId="371DD7FB" w14:textId="77777777" w:rsidR="000764A7" w:rsidRDefault="00777DC9">
      <w:pPr>
        <w:shd w:val="clear" w:color="auto" w:fill="FFFFFF"/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1.4. Год постройки здания __1974_____, последнего капитального ремонта 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__нет_____.</w:t>
      </w:r>
    </w:p>
    <w:p w14:paraId="0EF3801E" w14:textId="77777777" w:rsidR="000764A7" w:rsidRDefault="00777DC9">
      <w:pPr>
        <w:spacing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2E86C0C3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текущего ____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2024-2027_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____,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капитального ________.</w:t>
      </w:r>
    </w:p>
    <w:p w14:paraId="029DC5B8" w14:textId="77777777" w:rsidR="000764A7" w:rsidRDefault="00777DC9">
      <w:pPr>
        <w:spacing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79B6E541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7885DE68" w14:textId="77777777" w:rsidR="000764A7" w:rsidRDefault="00777DC9">
      <w:pPr>
        <w:shd w:val="clear" w:color="auto" w:fill="FFFFFF"/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полное наименование (по учредительным документам): </w:t>
      </w:r>
      <w:bookmarkStart w:id="0" w:name="_Hlk168491147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Муниципальное бюджетное учреждение культуры «Культурно-досуговый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центр»  Сосьвинского</w:t>
      </w:r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 городского округа</w:t>
      </w:r>
      <w:bookmarkEnd w:id="0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 , структурное подразделение Романовский сельский Дом культуры</w:t>
      </w:r>
    </w:p>
    <w:p w14:paraId="42B22D00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сокращенное наименование (по учредительным документам</w:t>
      </w: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МБУК «КДЦ» СГО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48751E29" w14:textId="77777777" w:rsidR="000764A7" w:rsidRDefault="00777DC9">
      <w:pPr>
        <w:shd w:val="clear" w:color="auto" w:fill="FFFFFF"/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1.6.2. Юридический адрес организации, телефон, электронная почта: </w:t>
      </w:r>
      <w:bookmarkStart w:id="1" w:name="_Hlk168491167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624971</w:t>
      </w: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Свердловская область, Серовский район,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п.г.т.Сосьва</w:t>
      </w:r>
      <w:proofErr w:type="spellEnd"/>
      <w:proofErr w:type="gram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, 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ул.Балдина</w:t>
      </w:r>
      <w:proofErr w:type="spellEnd"/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, дом 35.</w:t>
      </w:r>
      <w:r>
        <w:rPr>
          <w:rFonts w:ascii="Times New Roman" w:hAnsi="Times New Roman" w:cs="Times New Roman"/>
          <w:bCs/>
          <w:kern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0"/>
          <w:sz w:val="28"/>
          <w:szCs w:val="28"/>
          <w:u w:val="single"/>
          <w:shd w:val="clear" w:color="auto" w:fill="FFFFFF"/>
          <w:lang w:eastAsia="ru-RU"/>
        </w:rPr>
        <w:t>8(34385)-4-42-73,  mbukkdcsgo@mail.ru</w:t>
      </w:r>
    </w:p>
    <w:bookmarkEnd w:id="1"/>
    <w:p w14:paraId="5012D778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1.6.3. Основание для пользования объектом </w:t>
      </w:r>
      <w:bookmarkStart w:id="2" w:name="_Hlk168491082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(оперативное управление</w:t>
      </w:r>
      <w:bookmarkEnd w:id="2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аренда, собственность):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оперативное управление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7DE108DB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муниципальная, государственная</w:t>
      </w:r>
    </w:p>
    <w:p w14:paraId="3D1DB9D6" w14:textId="77777777" w:rsidR="000764A7" w:rsidRDefault="00777DC9">
      <w:pPr>
        <w:spacing w:after="0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Отраслевой орган администрации «Управление по делам культуры, молодёжи и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спорта»   </w:t>
      </w:r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Сосьвинского городского округа, </w:t>
      </w:r>
      <w:bookmarkStart w:id="3" w:name="_Hlk169785752"/>
      <w:r>
        <w:rPr>
          <w:rFonts w:ascii="Times New Roman" w:hAnsi="Times New Roman" w:cs="Times New Roman"/>
          <w:bCs/>
          <w:kern w:val="0"/>
          <w:sz w:val="28"/>
          <w:szCs w:val="28"/>
          <w:u w:val="single"/>
          <w:shd w:val="clear" w:color="auto" w:fill="FFFFFF"/>
          <w:lang w:eastAsia="ru-RU"/>
        </w:rPr>
        <w:t xml:space="preserve">8(34385)-4-46-53,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kulturanaura</w:t>
      </w:r>
      <w:proofErr w:type="spell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@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mail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ru</w:t>
      </w:r>
      <w:bookmarkEnd w:id="3"/>
      <w:proofErr w:type="spellEnd"/>
    </w:p>
    <w:p w14:paraId="386F1F62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</w:p>
    <w:p w14:paraId="1A13C7DF" w14:textId="77777777" w:rsidR="000764A7" w:rsidRDefault="00777DC9">
      <w:pPr>
        <w:shd w:val="clear" w:color="auto" w:fill="FFFFFF"/>
        <w:spacing w:after="0"/>
      </w:pP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624971 Свердловская область, Серовский район,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п.г.т.Сосьва</w:t>
      </w:r>
      <w:proofErr w:type="spellEnd"/>
      <w:proofErr w:type="gram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, 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ул.Балдина</w:t>
      </w:r>
      <w:proofErr w:type="spellEnd"/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, дом 35.</w:t>
      </w:r>
      <w:r>
        <w:rPr>
          <w:rFonts w:ascii="Times New Roman" w:hAnsi="Times New Roman" w:cs="Times New Roman"/>
          <w:bCs/>
          <w:kern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Cs/>
          <w:kern w:val="0"/>
          <w:sz w:val="28"/>
          <w:szCs w:val="28"/>
          <w:u w:val="single"/>
          <w:shd w:val="clear" w:color="auto" w:fill="FFFFFF"/>
          <w:lang w:eastAsia="ru-RU"/>
        </w:rPr>
        <w:t xml:space="preserve">8(34385)-4-46-53,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kulturanaura</w:t>
      </w:r>
      <w:proofErr w:type="spell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@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mail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</w:p>
    <w:p w14:paraId="03E7849E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63D74344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культурно-досуговая.</w:t>
      </w:r>
    </w:p>
    <w:p w14:paraId="543C6570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все возрастные категории</w:t>
      </w:r>
    </w:p>
    <w:p w14:paraId="2C0C5C72" w14:textId="77777777" w:rsidR="000764A7" w:rsidRDefault="00777DC9">
      <w:pPr>
        <w:shd w:val="clear" w:color="auto" w:fill="FFFFFF"/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все категории</w:t>
      </w:r>
    </w:p>
    <w:p w14:paraId="71434453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платные, бесплатные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CA105DC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</w:t>
      </w:r>
      <w:bookmarkStart w:id="4" w:name="_Hlk168491322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 объекте</w:t>
      </w:r>
      <w:bookmarkEnd w:id="4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, с длительным пребыванием, с проживанием, на дому, дистанционно</w:t>
      </w:r>
      <w:proofErr w:type="gramStart"/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 xml:space="preserve">): 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на</w:t>
      </w:r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 объекте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.</w:t>
      </w:r>
    </w:p>
    <w:p w14:paraId="086A9D5F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7D23EDD2" w14:textId="26522FB0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посещаемость (количество обслуживаемых граждан в день)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</w:t>
      </w:r>
      <w:r w:rsidR="00456D70" w:rsidRPr="00456D70"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15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_;</w:t>
      </w:r>
    </w:p>
    <w:p w14:paraId="666786D9" w14:textId="044CF5C8" w:rsidR="000764A7" w:rsidRDefault="00777DC9">
      <w:pPr>
        <w:shd w:val="clear" w:color="auto" w:fill="FFFFFF"/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</w:t>
      </w:r>
      <w:r w:rsidR="00456D70" w:rsidRPr="00456D70"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40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_;</w:t>
      </w:r>
    </w:p>
    <w:p w14:paraId="2CAD32E3" w14:textId="5A290DB9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пропускная способность _</w:t>
      </w:r>
      <w:r w:rsidR="00456D70" w:rsidRPr="00456D7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_.</w:t>
      </w:r>
    </w:p>
    <w:p w14:paraId="0B85F234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__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__.</w:t>
      </w:r>
    </w:p>
    <w:p w14:paraId="2CA97029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 Состояние доступности объекта и предоставляемых на нем услуг</w:t>
      </w:r>
    </w:p>
    <w:p w14:paraId="7B40A25E" w14:textId="77777777" w:rsidR="000764A7" w:rsidRDefault="00777DC9">
      <w:pPr>
        <w:pageBreakBefore/>
        <w:shd w:val="clear" w:color="auto" w:fill="FFFFFF"/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движение общественного пассажирского транспорта не осуществляется.</w:t>
      </w:r>
    </w:p>
    <w:p w14:paraId="79A1E94E" w14:textId="77777777" w:rsidR="000764A7" w:rsidRDefault="00777DC9">
      <w:pPr>
        <w:shd w:val="clear" w:color="auto" w:fill="FFFFFF"/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адаптированного пассажирского транспорта к объекту: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 xml:space="preserve">в наличии площадка для парковки личного транспорта, </w:t>
      </w:r>
      <w:bookmarkStart w:id="5" w:name="_Hlk168491731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обустроен пандус для инвалидов, передвигающиеся на креслах-колясках, инвалидов с нарушением опорно-двигательного аппарата</w:t>
      </w:r>
    </w:p>
    <w:bookmarkEnd w:id="5"/>
    <w:p w14:paraId="53804A99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7BBAB3C2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объекта от остановки транспорта _____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900_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___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метров.</w:t>
      </w:r>
    </w:p>
    <w:p w14:paraId="448F140F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3.2.2. Время движения (пешком) ____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15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>____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минут.</w:t>
      </w:r>
    </w:p>
    <w:p w14:paraId="40016395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нет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  <w:proofErr w:type="gramEnd"/>
    </w:p>
    <w:p w14:paraId="105626B2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нет):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нет.</w:t>
      </w:r>
    </w:p>
    <w:p w14:paraId="54172CCA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нет.</w:t>
      </w:r>
    </w:p>
    <w:p w14:paraId="181E2F15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3.2.6. Перепады высоты на пути (съезды с тротуара) (нет/есть (описать)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): 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нет</w:t>
      </w:r>
      <w:proofErr w:type="gramEnd"/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,</w:t>
      </w:r>
    </w:p>
    <w:p w14:paraId="5900E91B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обустроен пандус для инвалидов, передвигающиеся на креслах-колясках, инвалидов с нарушением опорно-двигательного аппарата</w:t>
      </w:r>
    </w:p>
    <w:p w14:paraId="12FB9EA8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1</w:t>
      </w:r>
    </w:p>
    <w:p w14:paraId="5A025172" w14:textId="77777777" w:rsidR="000764A7" w:rsidRDefault="000764A7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672"/>
        <w:gridCol w:w="4251"/>
      </w:tblGrid>
      <w:tr w:rsidR="000764A7" w14:paraId="0F8900B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6805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46FB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E9BD" w14:textId="77777777" w:rsidR="000764A7" w:rsidRDefault="00777DC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764A7" w14:paraId="1E702AD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DBC6" w14:textId="77777777" w:rsidR="000764A7" w:rsidRDefault="00777DC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015D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1CBC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764A7" w14:paraId="3907B77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66EE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A1F5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2A9D" w14:textId="77777777" w:rsidR="000764A7" w:rsidRDefault="000764A7">
            <w:pPr>
              <w:shd w:val="clear" w:color="auto" w:fill="FFFFFF"/>
              <w:spacing w:after="0" w:line="240" w:lineRule="auto"/>
            </w:pPr>
          </w:p>
        </w:tc>
      </w:tr>
      <w:tr w:rsidR="000764A7" w14:paraId="2CDFC20C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B97B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8EAF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91BD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764A7" w14:paraId="28F00DB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1DA7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5A99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6BA2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764A7" w14:paraId="5A41974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82CB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5566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17FA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764A7" w14:paraId="52BD9E4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673F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974E" w14:textId="77777777" w:rsidR="000764A7" w:rsidRDefault="00777DC9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66BF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764A7" w14:paraId="5C3B28B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E5E9" w14:textId="77777777" w:rsidR="000764A7" w:rsidRDefault="00777DC9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F1BC" w14:textId="77777777" w:rsidR="000764A7" w:rsidRDefault="00777DC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AE30" w14:textId="77777777" w:rsidR="000764A7" w:rsidRDefault="00777DC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</w:tbl>
    <w:p w14:paraId="64953CE2" w14:textId="77777777" w:rsidR="000764A7" w:rsidRDefault="000764A7">
      <w:pPr>
        <w:pStyle w:val="af1"/>
        <w:shd w:val="clear" w:color="auto" w:fill="FFFFFF"/>
        <w:ind w:firstLine="709"/>
        <w:rPr>
          <w:rFonts w:ascii="Liberation Serif" w:hAnsi="Liberation Serif" w:cs="Liberation Serif"/>
          <w:sz w:val="24"/>
          <w:szCs w:val="24"/>
        </w:rPr>
      </w:pPr>
    </w:p>
    <w:p w14:paraId="4C4D8C7B" w14:textId="77777777" w:rsidR="000764A7" w:rsidRDefault="00777DC9">
      <w:pPr>
        <w:pStyle w:val="af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613377A" w14:textId="77777777" w:rsidR="000764A7" w:rsidRDefault="00777DC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3A4439A2" w14:textId="77777777" w:rsidR="000764A7" w:rsidRDefault="00777DC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6663CE6C" w14:textId="77777777" w:rsidR="000764A7" w:rsidRDefault="00777DC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1DF2E585" w14:textId="77777777" w:rsidR="000764A7" w:rsidRDefault="00777DC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0A5BE275" w14:textId="77777777" w:rsidR="000764A7" w:rsidRDefault="00777DC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020B4C65" w14:textId="77777777" w:rsidR="000764A7" w:rsidRDefault="00777DC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067E606A" w14:textId="77777777" w:rsidR="000764A7" w:rsidRDefault="00777DC9">
      <w:pPr>
        <w:spacing w:after="0" w:line="240" w:lineRule="auto"/>
        <w:ind w:firstLine="709"/>
        <w:jc w:val="both"/>
        <w:sectPr w:rsidR="000764A7" w:rsidSect="00594899">
          <w:pgSz w:w="11906" w:h="16838"/>
          <w:pgMar w:top="567" w:right="567" w:bottom="1134" w:left="1418" w:header="709" w:footer="709" w:gutter="0"/>
          <w:cols w:space="720"/>
        </w:sectPr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</w:p>
    <w:p w14:paraId="39456BF2" w14:textId="77777777" w:rsidR="000764A7" w:rsidRDefault="00777DC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374AFE8B" w14:textId="77777777" w:rsidR="000764A7" w:rsidRDefault="000764A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0764A7" w14:paraId="4DE1C71F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EAAB" w14:textId="77777777" w:rsidR="000764A7" w:rsidRDefault="00777DC9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999" w14:textId="77777777" w:rsidR="000764A7" w:rsidRDefault="00777DC9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8681" w14:textId="77777777" w:rsidR="000764A7" w:rsidRDefault="00777DC9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764A7" w14:paraId="31EB626C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DC4E" w14:textId="77777777" w:rsidR="000764A7" w:rsidRDefault="000764A7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99B1" w14:textId="77777777" w:rsidR="000764A7" w:rsidRDefault="000764A7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F0B7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71139F61" w14:textId="77777777" w:rsidR="000764A7" w:rsidRDefault="00777DC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32AB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6C628949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9415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0AF2A619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D6F7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7B7578F3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FD75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01E16306" w14:textId="77777777" w:rsidR="000764A7" w:rsidRDefault="00777DC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97C6" w14:textId="77777777" w:rsidR="000764A7" w:rsidRDefault="00777DC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0764A7" w14:paraId="35069322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8B66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8A71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E85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42E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3D9B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4B2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344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F75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602DC68D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09D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A8E4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153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7F0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E5A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CA0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5B5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0EA5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3483B1E4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FDAA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58E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1A5F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70A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5F3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581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354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FD93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0212915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483A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AF1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CCEA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F277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A7AF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9FFF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AEB0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607F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015A8AB4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D96D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F920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18E4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BB9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7F9B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23A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2019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5C23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79114373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C2A8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6167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7E81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E0F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7114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C90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1DA9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A980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35A58F53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9C93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6861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14D3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B658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4A0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A6C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A970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E74F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  <w:tr w:rsidR="000764A7" w14:paraId="731C55D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43E3" w14:textId="77777777" w:rsidR="000764A7" w:rsidRDefault="00777DC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220C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43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AF36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B203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FF9E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4B21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1F10" w14:textId="77777777" w:rsidR="000764A7" w:rsidRDefault="00777DC9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  <w:lang w:eastAsia="ru-RU"/>
              </w:rPr>
              <w:t>ДУ</w:t>
            </w:r>
          </w:p>
        </w:tc>
      </w:tr>
    </w:tbl>
    <w:p w14:paraId="21161FAE" w14:textId="77777777" w:rsidR="000764A7" w:rsidRDefault="000764A7">
      <w:pPr>
        <w:pStyle w:val="af1"/>
        <w:ind w:firstLine="709"/>
        <w:rPr>
          <w:rFonts w:ascii="Liberation Serif" w:hAnsi="Liberation Serif" w:cs="Liberation Serif"/>
          <w:sz w:val="24"/>
          <w:szCs w:val="24"/>
        </w:rPr>
      </w:pPr>
    </w:p>
    <w:p w14:paraId="68CA1260" w14:textId="77777777" w:rsidR="000764A7" w:rsidRDefault="00777DC9">
      <w:pPr>
        <w:pStyle w:val="af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2B2FE79C" w14:textId="77777777" w:rsidR="000764A7" w:rsidRDefault="00777DC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67D51360" w14:textId="77777777" w:rsidR="000764A7" w:rsidRDefault="00777DC9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7455438E" w14:textId="77777777" w:rsidR="000764A7" w:rsidRDefault="00777DC9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060D9E31" w14:textId="77777777" w:rsidR="000764A7" w:rsidRDefault="00777DC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537A7E2A" w14:textId="77777777" w:rsidR="000764A7" w:rsidRDefault="00777DC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1D46EC39" w14:textId="77777777" w:rsidR="000764A7" w:rsidRDefault="00777DC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44E10DD0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3.5. Итоговое заключение о состоянии доступности объекта и предоставляемых на нем услуг: ДУ.</w:t>
      </w:r>
    </w:p>
    <w:p w14:paraId="08DBCCDE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734F0E21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3ADDEBA5" w14:textId="77777777" w:rsidR="000764A7" w:rsidRDefault="000764A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EA5E2E5" w14:textId="77777777" w:rsidR="000764A7" w:rsidRDefault="000764A7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864"/>
        <w:gridCol w:w="2427"/>
        <w:gridCol w:w="2427"/>
        <w:gridCol w:w="2427"/>
        <w:gridCol w:w="2427"/>
      </w:tblGrid>
      <w:tr w:rsidR="000764A7" w14:paraId="16DB557B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4FBE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233B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8E56" w14:textId="77777777" w:rsidR="000764A7" w:rsidRDefault="00777DC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0764A7" w14:paraId="3A5FBA40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1A29" w14:textId="77777777" w:rsidR="000764A7" w:rsidRDefault="00076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5DD" w14:textId="77777777" w:rsidR="000764A7" w:rsidRDefault="000764A7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4994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6185" w14:textId="77777777" w:rsidR="000764A7" w:rsidRDefault="00777DC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1258" w14:textId="77777777" w:rsidR="000764A7" w:rsidRDefault="00777DC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95E7" w14:textId="77777777" w:rsidR="000764A7" w:rsidRDefault="00777DC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0764A7" w14:paraId="03DA379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0258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9C53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D206" w14:textId="77777777" w:rsidR="000764A7" w:rsidRDefault="000764A7">
            <w:pPr>
              <w:spacing w:after="0" w:line="24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105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ABF0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D80C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15FDFB9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D05B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2D9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DF55" w14:textId="77777777" w:rsidR="000764A7" w:rsidRDefault="000764A7">
            <w:pPr>
              <w:spacing w:after="0" w:line="24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AD7F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D772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296D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5FC7E7D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894C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F51D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1E79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BFA0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5BC1" w14:textId="77777777" w:rsidR="000764A7" w:rsidRDefault="000764A7">
            <w:pPr>
              <w:spacing w:after="0" w:line="24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D40F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1A2032E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EDC5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4D65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09AF" w14:textId="77777777" w:rsidR="000764A7" w:rsidRDefault="000764A7">
            <w:pPr>
              <w:spacing w:after="0" w:line="24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714B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0153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Приобретение 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установка тактильной 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звуковой информации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6DAB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1A28E13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C205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350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AAAC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7701" w14:textId="77777777" w:rsidR="000764A7" w:rsidRDefault="00777DC9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ремонт капитальный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3834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10BD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2AEE83E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3B3F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BD2C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204B" w14:textId="77777777" w:rsidR="000764A7" w:rsidRDefault="000764A7">
            <w:pPr>
              <w:spacing w:after="0" w:line="24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B8E2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958F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7886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0764A7" w14:paraId="475F9D0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284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E221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CD1A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325D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0469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F5D4" w14:textId="77777777" w:rsidR="000764A7" w:rsidRDefault="000764A7">
            <w:pPr>
              <w:spacing w:after="0" w:line="240" w:lineRule="auto"/>
              <w:jc w:val="both"/>
            </w:pPr>
          </w:p>
        </w:tc>
      </w:tr>
      <w:tr w:rsidR="000764A7" w14:paraId="018F9E3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2B25" w14:textId="77777777" w:rsidR="000764A7" w:rsidRDefault="00777DC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06FB" w14:textId="77777777" w:rsidR="000764A7" w:rsidRDefault="00777DC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8B2B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578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D862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EEA3" w14:textId="77777777" w:rsidR="000764A7" w:rsidRDefault="000764A7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7DB44909" w14:textId="77777777" w:rsidR="000764A7" w:rsidRDefault="000764A7">
      <w:pPr>
        <w:pStyle w:val="af1"/>
        <w:ind w:firstLine="709"/>
        <w:rPr>
          <w:rFonts w:ascii="Liberation Serif" w:hAnsi="Liberation Serif" w:cs="Liberation Serif"/>
          <w:sz w:val="24"/>
          <w:szCs w:val="24"/>
        </w:rPr>
      </w:pPr>
    </w:p>
    <w:p w14:paraId="0862E7EB" w14:textId="77777777" w:rsidR="000764A7" w:rsidRDefault="00777DC9">
      <w:pPr>
        <w:pStyle w:val="af1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5567D4F2" w14:textId="77777777" w:rsidR="000764A7" w:rsidRDefault="00777DC9">
      <w:pPr>
        <w:spacing w:after="0" w:line="240" w:lineRule="auto"/>
        <w:ind w:firstLine="709"/>
        <w:jc w:val="both"/>
        <w:sectPr w:rsidR="000764A7">
          <w:headerReference w:type="default" r:id="rId6"/>
          <w:pgSz w:w="16838" w:h="11906" w:orient="landscape"/>
          <w:pgMar w:top="1418" w:right="1134" w:bottom="567" w:left="1134" w:header="709" w:footer="709" w:gutter="0"/>
          <w:cols w:space="720"/>
        </w:sectPr>
      </w:pPr>
      <w:r>
        <w:rPr>
          <w:rFonts w:ascii="Liberation Serif" w:hAnsi="Liberation Serif" w:cs="Liberation Serif"/>
          <w:bCs/>
          <w:sz w:val="24"/>
          <w:szCs w:val="24"/>
          <w:vertAlign w:val="superscript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</w:p>
    <w:p w14:paraId="0B61390F" w14:textId="77777777" w:rsidR="000764A7" w:rsidRDefault="00777DC9">
      <w:pPr>
        <w:shd w:val="clear" w:color="auto" w:fill="FFFFFF"/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4.2. Период проведения работ: 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 xml:space="preserve">__2024-2030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гг</w:t>
      </w:r>
      <w:proofErr w:type="spellEnd"/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___</w:t>
      </w:r>
    </w:p>
    <w:p w14:paraId="2BD6B291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 рамках исполнения (указать наименование программы или плана мероприятий по адаптации основных структурно-функциональных зон объекта): 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_</w:t>
      </w:r>
      <w:bookmarkStart w:id="6" w:name="_Hlk168492393"/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  <w:lang w:eastAsia="ru-RU"/>
        </w:rPr>
        <w:t>_</w:t>
      </w:r>
      <w:bookmarkEnd w:id="6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_________.</w:t>
      </w:r>
    </w:p>
    <w:p w14:paraId="668D2E67" w14:textId="77777777" w:rsidR="000764A7" w:rsidRDefault="000764A7">
      <w:pPr>
        <w:spacing w:after="0"/>
        <w:jc w:val="both"/>
      </w:pPr>
    </w:p>
    <w:p w14:paraId="513A1B6E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>
        <w:rPr>
          <w:rFonts w:ascii="Liberation Serif" w:hAnsi="Liberation Serif" w:cs="Liberation Serif"/>
          <w:bCs/>
          <w:sz w:val="28"/>
          <w:szCs w:val="28"/>
          <w:u w:val="single"/>
          <w:shd w:val="clear" w:color="auto" w:fill="FFFFFF"/>
          <w:lang w:eastAsia="ru-RU"/>
        </w:rPr>
        <w:t>ДУ-В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D3B2806" w14:textId="77777777" w:rsidR="000764A7" w:rsidRDefault="000764A7">
      <w:pPr>
        <w:spacing w:after="0"/>
        <w:jc w:val="both"/>
      </w:pPr>
    </w:p>
    <w:p w14:paraId="217B3896" w14:textId="77777777" w:rsidR="000764A7" w:rsidRDefault="00777DC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B91421" w14:paraId="1C0C1537" w14:textId="77777777" w:rsidTr="00B91421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445E" w14:textId="77777777" w:rsidR="00B91421" w:rsidRDefault="00B91421">
            <w:pPr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  <w:p w14:paraId="3161FC49" w14:textId="03328D66" w:rsidR="00B91421" w:rsidRDefault="00B91421">
            <w:pPr>
              <w:spacing w:after="0" w:line="240" w:lineRule="auto"/>
              <w:ind w:left="-108"/>
              <w:jc w:val="both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FA02" w14:textId="77777777" w:rsidR="00B91421" w:rsidRDefault="00B9142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u w:val="single"/>
                <w:lang w:eastAsia="ru-RU"/>
              </w:rPr>
            </w:pPr>
          </w:p>
          <w:p w14:paraId="1718589C" w14:textId="25B69A7A" w:rsidR="00B91421" w:rsidRDefault="00B9142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B91421" w14:paraId="264B10E1" w14:textId="77777777" w:rsidTr="00B91421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AFD5" w14:textId="77777777" w:rsidR="00B91421" w:rsidRDefault="00B9142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317B" w14:textId="77777777" w:rsidR="00B91421" w:rsidRDefault="00B91421">
            <w:pPr>
              <w:spacing w:after="0" w:line="240" w:lineRule="auto"/>
            </w:pPr>
          </w:p>
        </w:tc>
      </w:tr>
      <w:tr w:rsidR="00B91421" w14:paraId="0215A239" w14:textId="77777777" w:rsidTr="00B91421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4F5F" w14:textId="77777777" w:rsidR="00B91421" w:rsidRDefault="00B91421">
            <w:pPr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BBDD" w14:textId="77777777" w:rsidR="00B91421" w:rsidRDefault="00B9142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776BEAA5" w14:textId="77777777" w:rsidR="00B91421" w:rsidRDefault="00B9142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B91421" w14:paraId="72A7B56E" w14:textId="77777777" w:rsidTr="00B91421">
        <w:tc>
          <w:tcPr>
            <w:tcW w:w="0" w:type="auto"/>
            <w:vMerge/>
            <w:vAlign w:val="center"/>
            <w:hideMark/>
          </w:tcPr>
          <w:p w14:paraId="12FD15F0" w14:textId="77777777" w:rsidR="00B91421" w:rsidRDefault="00B91421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58A2" w14:textId="77777777" w:rsidR="00B91421" w:rsidRDefault="00B9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2337EB10" w14:textId="77777777" w:rsidR="00B91421" w:rsidRDefault="00B9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3417EBC" w14:textId="77777777" w:rsidR="00B91421" w:rsidRDefault="00B91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B91421" w14:paraId="323B8D5C" w14:textId="77777777" w:rsidTr="00B91421">
        <w:tc>
          <w:tcPr>
            <w:tcW w:w="0" w:type="auto"/>
            <w:vMerge/>
            <w:vAlign w:val="center"/>
            <w:hideMark/>
          </w:tcPr>
          <w:p w14:paraId="26E83393" w14:textId="77777777" w:rsidR="00B91421" w:rsidRDefault="00B91421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568F" w14:textId="77777777" w:rsidR="00B91421" w:rsidRDefault="00B9142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  <w:p w14:paraId="287882B8" w14:textId="77777777" w:rsidR="00B91421" w:rsidRDefault="00B91421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1421" w14:paraId="270B507C" w14:textId="77777777" w:rsidTr="00B91421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C4F6" w14:textId="77777777" w:rsidR="00B91421" w:rsidRDefault="00B91421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7F52D03A" w14:textId="77777777" w:rsidR="00B91421" w:rsidRDefault="00B91421">
            <w:pPr>
              <w:spacing w:after="0" w:line="240" w:lineRule="auto"/>
              <w:jc w:val="both"/>
            </w:pPr>
          </w:p>
        </w:tc>
      </w:tr>
      <w:tr w:rsidR="00B91421" w14:paraId="73269F0F" w14:textId="77777777" w:rsidTr="00B91421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71FF" w14:textId="77777777" w:rsidR="00B91421" w:rsidRDefault="00B91421">
            <w:pPr>
              <w:spacing w:after="0" w:line="240" w:lineRule="auto"/>
              <w:ind w:left="-108" w:firstLine="6382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4FF13261" w14:textId="77777777" w:rsidR="00B91421" w:rsidRDefault="00B91421">
            <w:pPr>
              <w:spacing w:after="0" w:line="240" w:lineRule="auto"/>
              <w:ind w:firstLine="5704"/>
            </w:pPr>
          </w:p>
        </w:tc>
      </w:tr>
    </w:tbl>
    <w:p w14:paraId="0F369422" w14:textId="77777777" w:rsidR="000764A7" w:rsidRDefault="000764A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7E32EC14" w14:textId="77777777" w:rsidR="000764A7" w:rsidRDefault="00777DC9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___</w:t>
      </w: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 социальной политики №19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0297AF69" w14:textId="77777777" w:rsidR="000764A7" w:rsidRDefault="00777DC9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1030F13D" w14:textId="77777777" w:rsidR="000764A7" w:rsidRDefault="00777DC9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40A37D71" w14:textId="77777777" w:rsidR="000764A7" w:rsidRDefault="000764A7">
      <w:pPr>
        <w:spacing w:after="0"/>
        <w:jc w:val="both"/>
      </w:pPr>
    </w:p>
    <w:p w14:paraId="5B101F15" w14:textId="77777777" w:rsidR="000764A7" w:rsidRDefault="000764A7">
      <w:pPr>
        <w:spacing w:after="0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148549F7" w14:textId="77777777" w:rsidR="000764A7" w:rsidRDefault="000764A7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0764A7">
      <w:headerReference w:type="default" r:id="rId7"/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9352" w14:textId="77777777" w:rsidR="00F055A6" w:rsidRDefault="00F055A6">
      <w:pPr>
        <w:spacing w:after="0" w:line="240" w:lineRule="auto"/>
      </w:pPr>
      <w:r>
        <w:separator/>
      </w:r>
    </w:p>
  </w:endnote>
  <w:endnote w:type="continuationSeparator" w:id="0">
    <w:p w14:paraId="5820E889" w14:textId="77777777" w:rsidR="00F055A6" w:rsidRDefault="00F0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C2C6" w14:textId="77777777" w:rsidR="00F055A6" w:rsidRDefault="00F055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E21C8C" w14:textId="77777777" w:rsidR="00F055A6" w:rsidRDefault="00F0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E42F" w14:textId="77777777" w:rsidR="00B521F7" w:rsidRDefault="00777DC9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7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0B7E" w14:textId="77777777" w:rsidR="00B521F7" w:rsidRDefault="00777DC9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1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615EB8D0" w14:textId="77777777" w:rsidR="00B521F7" w:rsidRDefault="00F055A6">
    <w:pPr>
      <w:pStyle w:val="c2e5f0f5ede8e9eaeeebeeedf2e8f2f3eb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A7"/>
    <w:rsid w:val="000764A7"/>
    <w:rsid w:val="00146E05"/>
    <w:rsid w:val="00456D70"/>
    <w:rsid w:val="00536C0A"/>
    <w:rsid w:val="00594899"/>
    <w:rsid w:val="00777DC9"/>
    <w:rsid w:val="00B91421"/>
    <w:rsid w:val="00EA2A76"/>
    <w:rsid w:val="00F0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A304"/>
  <w15:docId w15:val="{0D3DB72B-34C6-4982-B8E5-D53EFC0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c7e0e3eeebeee2eeea">
    <w:name w:val="Зc7аe0гe3оeeлebоeeвe2оeeкea"/>
    <w:basedOn w:val="a"/>
    <w:next w:val="cef1edeee2edeee9f2e5eaf1f2"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</w:style>
  <w:style w:type="paragraph" w:customStyle="1" w:styleId="cde0e7e2e0ede8e5">
    <w:name w:val="Нcdаe0зe7вe2аe0нedиe8еe5"/>
    <w:basedOn w:val="a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pPr>
      <w:widowControl w:val="0"/>
      <w:suppressAutoHyphens/>
      <w:autoSpaceDE w:val="0"/>
      <w:spacing w:after="0"/>
    </w:pPr>
    <w:rPr>
      <w:rFonts w:ascii="Times New Roman" w:hAnsi="Times New Roman"/>
      <w:b/>
      <w:bCs/>
      <w:kern w:val="3"/>
      <w:sz w:val="28"/>
      <w:szCs w:val="28"/>
    </w:rPr>
  </w:style>
  <w:style w:type="paragraph" w:styleId="a3">
    <w:name w:val="Balloon Text"/>
    <w:basedOn w:val="a"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/>
    </w:pPr>
    <w:rPr>
      <w:rFonts w:cs="Calibri"/>
      <w:kern w:val="3"/>
    </w:rPr>
  </w:style>
  <w:style w:type="paragraph" w:styleId="a4">
    <w:name w:val="List Paragraph"/>
    <w:basedOn w:val="a"/>
    <w:pPr>
      <w:ind w:left="720"/>
    </w:pPr>
    <w:rPr>
      <w:kern w:val="0"/>
    </w:rPr>
  </w:style>
  <w:style w:type="paragraph" w:styleId="a5">
    <w:name w:val="annotation text"/>
    <w:basedOn w:val="a"/>
    <w:pPr>
      <w:spacing w:line="240" w:lineRule="auto"/>
    </w:pPr>
    <w:rPr>
      <w:kern w:val="0"/>
      <w:sz w:val="20"/>
      <w:szCs w:val="20"/>
    </w:rPr>
  </w:style>
  <w:style w:type="paragraph" w:styleId="a6">
    <w:name w:val="annotation subject"/>
    <w:basedOn w:val="a5"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2e5f0f5ede8e9eaeeebeeedf2e8f2f3ebc7ede0ea">
    <w:name w:val="Вc2еe5рf0хf5нedиe8йe9 кeaоeeлebоeeнedтf2иe8тf2уf3лeb Зc7нedаe0кea"/>
    <w:basedOn w:val="a0"/>
  </w:style>
  <w:style w:type="character" w:customStyle="1" w:styleId="cde8e6ede8e9eaeeebeeedf2e8f2f3ebc7ede0ea">
    <w:name w:val="Нcdиe8жe6нedиe8йe9 кeaоeeлebоeeнedтf2иe8тf2уf3лeb Зc7нedаe0кea"/>
    <w:basedOn w:val="a0"/>
  </w:style>
  <w:style w:type="character" w:customStyle="1" w:styleId="d2e5eaf1f2e2fbedeef1eae8c7ede0ea">
    <w:name w:val="Тd2еe5кeaсf1тf2 вe2ыfbнedоeeсf1кeaиe8 Зc7нedаe0кea"/>
    <w:basedOn w:val="a0"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rPr>
      <w:color w:val="0000FF"/>
      <w:u w:val="single"/>
    </w:rPr>
  </w:style>
  <w:style w:type="character" w:styleId="a8">
    <w:name w:val="annotation reference"/>
    <w:basedOn w:val="a0"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rPr>
      <w:b/>
      <w:b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character" w:customStyle="1" w:styleId="ListLabel29">
    <w:name w:val="ListLabel 29"/>
    <w:rPr>
      <w:rFonts w:eastAsia="Times New Roman"/>
    </w:rPr>
  </w:style>
  <w:style w:type="character" w:customStyle="1" w:styleId="ListLabel30">
    <w:name w:val="ListLabel 30"/>
    <w:rPr>
      <w:rFonts w:eastAsia="Times New Roman"/>
    </w:rPr>
  </w:style>
  <w:style w:type="character" w:customStyle="1" w:styleId="ListLabel31">
    <w:name w:val="ListLabel 31"/>
    <w:rPr>
      <w:rFonts w:eastAsia="Times New Roman"/>
    </w:rPr>
  </w:style>
  <w:style w:type="character" w:customStyle="1" w:styleId="ListLabel32">
    <w:name w:val="ListLabel 32"/>
    <w:rPr>
      <w:rFonts w:eastAsia="Times New Roman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9">
    <w:name w:val="ListLabel 49"/>
    <w:rPr>
      <w:rFonts w:eastAsia="Times New Roman"/>
    </w:rPr>
  </w:style>
  <w:style w:type="character" w:customStyle="1" w:styleId="ListLabel50">
    <w:name w:val="ListLabel 50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a9">
    <w:name w:val="Текст выноски Знак"/>
    <w:basedOn w:val="a0"/>
    <w:rPr>
      <w:rFonts w:ascii="Segoe UI" w:eastAsia="Times New Roman" w:hAnsi="Segoe UI" w:cs="Segoe UI"/>
      <w:kern w:val="3"/>
      <w:sz w:val="18"/>
      <w:szCs w:val="18"/>
      <w:lang w:eastAsia="en-US"/>
    </w:rPr>
  </w:style>
  <w:style w:type="character" w:customStyle="1" w:styleId="aa">
    <w:name w:val="Текст примечания Знак"/>
    <w:basedOn w:val="a0"/>
    <w:rPr>
      <w:rFonts w:ascii="Calibri" w:eastAsia="Times New Roman" w:hAnsi="Calibri" w:cs="Calibri"/>
      <w:kern w:val="3"/>
      <w:sz w:val="20"/>
      <w:szCs w:val="20"/>
      <w:lang w:eastAsia="en-US"/>
    </w:rPr>
  </w:style>
  <w:style w:type="character" w:customStyle="1" w:styleId="ab">
    <w:name w:val="Тема примечания Знак"/>
    <w:basedOn w:val="aa"/>
    <w:rPr>
      <w:rFonts w:ascii="Calibri" w:eastAsia="Times New Roman" w:hAnsi="Calibri" w:cs="Calibri"/>
      <w:b/>
      <w:bCs/>
      <w:kern w:val="3"/>
      <w:sz w:val="20"/>
      <w:szCs w:val="20"/>
      <w:lang w:eastAsia="en-US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ad">
    <w:name w:val="Верхний колонтитул Знак"/>
    <w:basedOn w:val="a0"/>
    <w:rPr>
      <w:rFonts w:cs="Calibri"/>
      <w:kern w:val="3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rPr>
      <w:rFonts w:cs="Calibri"/>
      <w:kern w:val="3"/>
      <w:lang w:eastAsia="en-US"/>
    </w:rPr>
  </w:style>
  <w:style w:type="character" w:styleId="af0">
    <w:name w:val="Placeholder Text"/>
    <w:basedOn w:val="a0"/>
    <w:rPr>
      <w:color w:val="808080"/>
    </w:rPr>
  </w:style>
  <w:style w:type="paragraph" w:styleId="af1">
    <w:name w:val="footnote text"/>
    <w:basedOn w:val="a"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customStyle="1" w:styleId="af2">
    <w:name w:val="Текст сноски Знак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1519</Words>
  <Characters>8661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8</cp:revision>
  <cp:lastPrinted>2024-06-27T04:01:00Z</cp:lastPrinted>
  <dcterms:created xsi:type="dcterms:W3CDTF">2024-06-24T05:07:00Z</dcterms:created>
  <dcterms:modified xsi:type="dcterms:W3CDTF">2024-06-27T04:05:00Z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