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0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828"/>
      </w:tblGrid>
      <w:tr w:rsidR="00FD238F" w:rsidRPr="00FD238F" w14:paraId="347B8ED9" w14:textId="77777777" w:rsidTr="00D9121C">
        <w:trPr>
          <w:trHeight w:val="5040"/>
        </w:trPr>
        <w:tc>
          <w:tcPr>
            <w:tcW w:w="4937" w:type="dxa"/>
          </w:tcPr>
          <w:p w14:paraId="0CC461E4" w14:textId="77777777" w:rsidR="00FD238F" w:rsidRPr="00FD238F" w:rsidRDefault="00FD238F" w:rsidP="00FD238F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4828" w:type="dxa"/>
          </w:tcPr>
          <w:p w14:paraId="64EC195B" w14:textId="77777777" w:rsidR="00FD238F" w:rsidRPr="00FD238F" w:rsidRDefault="00FD238F" w:rsidP="00FD238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38F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5095945F" w14:textId="77777777" w:rsidR="00FD238F" w:rsidRPr="00FD238F" w:rsidRDefault="00FD238F" w:rsidP="00FD238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38F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1569D1F6" w14:textId="77777777" w:rsidR="00FD238F" w:rsidRPr="00FD238F" w:rsidRDefault="00FD238F" w:rsidP="00FD238F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17A88EDB" w14:textId="77777777" w:rsidR="00FD238F" w:rsidRPr="00FD238F" w:rsidRDefault="00FD238F" w:rsidP="00FD238F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387D1BC9" w14:textId="77777777" w:rsidR="00FD238F" w:rsidRPr="00FD238F" w:rsidRDefault="00FD238F" w:rsidP="00FD238F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329FB8A6" w14:textId="77777777" w:rsidR="00FD238F" w:rsidRPr="00FD238F" w:rsidRDefault="00FD238F" w:rsidP="00FD238F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</w:tr>
    </w:tbl>
    <w:p w14:paraId="0323ECCF" w14:textId="77777777" w:rsidR="00FD238F" w:rsidRPr="00FD238F" w:rsidRDefault="00FD238F" w:rsidP="00FD23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2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«</w:t>
      </w:r>
      <w:r w:rsidRPr="00FD2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 w:bidi="ru-RU"/>
        </w:rPr>
        <w:t>Оценка показателей неблагополучия ребенка</w:t>
      </w:r>
      <w:r w:rsidRPr="00FD2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14:paraId="144069BD" w14:textId="77777777" w:rsidR="00FD238F" w:rsidRPr="00FD238F" w:rsidRDefault="00FD238F" w:rsidP="00FD238F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tbl>
      <w:tblPr>
        <w:tblStyle w:val="10"/>
        <w:tblW w:w="9781" w:type="dxa"/>
        <w:tblInd w:w="-142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FD238F" w:rsidRPr="00FD238F" w14:paraId="7F1A65AB" w14:textId="77777777" w:rsidTr="00D9121C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253568" w14:textId="77777777" w:rsidR="00FD238F" w:rsidRPr="00FD238F" w:rsidRDefault="00FD238F" w:rsidP="00FD238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D238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ребенка, класс/группа: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E94AC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FD238F" w:rsidRPr="00FD238F" w14:paraId="45127E29" w14:textId="77777777" w:rsidTr="00D9121C">
        <w:trPr>
          <w:trHeight w:val="987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BB537F" w14:textId="77777777" w:rsidR="00FD238F" w:rsidRPr="00FD238F" w:rsidRDefault="00FD238F" w:rsidP="00FD238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D238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</w:t>
            </w:r>
            <w:r w:rsidRPr="00FD2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аименование органа (учреждения) системы профилактики: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F0B13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3FD8ACDF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766CC019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FD238F" w:rsidRPr="00FD238F" w14:paraId="10224FC6" w14:textId="77777777" w:rsidTr="00D9121C">
        <w:trPr>
          <w:trHeight w:val="430"/>
        </w:trPr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7EC721" w14:textId="77777777" w:rsidR="00FD238F" w:rsidRPr="00FD238F" w:rsidRDefault="00FD238F" w:rsidP="00FD238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D238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 отчество (последнее – при наличии) /должность/телефон специалиста</w:t>
            </w:r>
            <w:r w:rsidRPr="00FD23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проводившего оценку</w:t>
            </w:r>
            <w:r w:rsidRPr="00FD238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A2DD5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46AD0D22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77DDB980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FD238F" w:rsidRPr="00FD238F" w14:paraId="518B9EB8" w14:textId="77777777" w:rsidTr="00D9121C"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5B248B" w14:textId="77777777" w:rsidR="00FD238F" w:rsidRPr="00FD238F" w:rsidRDefault="00FD238F" w:rsidP="00FD238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36959228" w14:textId="77777777" w:rsidR="00FD238F" w:rsidRPr="00FD238F" w:rsidRDefault="00FD238F" w:rsidP="00FD238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D238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7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4E213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7331A8B3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p w14:paraId="5321C4E6" w14:textId="77777777" w:rsidR="00FD238F" w:rsidRPr="00FD238F" w:rsidRDefault="00FD238F" w:rsidP="00FD238F">
            <w:pPr>
              <w:widowControl w:val="0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54D9A6" w14:textId="77777777" w:rsidR="00FD238F" w:rsidRPr="00FD238F" w:rsidRDefault="00FD238F" w:rsidP="00FD23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2068"/>
        <w:gridCol w:w="215"/>
        <w:gridCol w:w="3530"/>
        <w:gridCol w:w="980"/>
        <w:gridCol w:w="2423"/>
      </w:tblGrid>
      <w:tr w:rsidR="00FD238F" w:rsidRPr="00FD238F" w14:paraId="75B51CFA" w14:textId="77777777" w:rsidTr="00D9121C">
        <w:trPr>
          <w:trHeight w:val="506"/>
        </w:trPr>
        <w:tc>
          <w:tcPr>
            <w:tcW w:w="138" w:type="pct"/>
            <w:shd w:val="clear" w:color="auto" w:fill="FFFFFF"/>
          </w:tcPr>
          <w:p w14:paraId="762EA93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№</w:t>
            </w:r>
          </w:p>
        </w:tc>
        <w:tc>
          <w:tcPr>
            <w:tcW w:w="1091" w:type="pct"/>
            <w:shd w:val="clear" w:color="auto" w:fill="FFFFFF"/>
          </w:tcPr>
          <w:p w14:paraId="771EA32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Критерии</w:t>
            </w:r>
          </w:p>
        </w:tc>
        <w:tc>
          <w:tcPr>
            <w:tcW w:w="114" w:type="pct"/>
            <w:shd w:val="clear" w:color="auto" w:fill="FFFFFF"/>
          </w:tcPr>
          <w:p w14:paraId="6D6713D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62" w:type="pct"/>
            <w:shd w:val="clear" w:color="auto" w:fill="FFFFFF"/>
          </w:tcPr>
          <w:p w14:paraId="26703FB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Показатели неблагополучия ребенка</w:t>
            </w:r>
          </w:p>
        </w:tc>
        <w:tc>
          <w:tcPr>
            <w:tcW w:w="517" w:type="pct"/>
            <w:shd w:val="clear" w:color="auto" w:fill="FFFFFF"/>
          </w:tcPr>
          <w:p w14:paraId="3B496D5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Наличие (+</w:t>
            </w: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/-</w:t>
            </w: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)</w:t>
            </w:r>
          </w:p>
        </w:tc>
        <w:tc>
          <w:tcPr>
            <w:tcW w:w="1278" w:type="pct"/>
            <w:shd w:val="clear" w:color="auto" w:fill="FFFFFF"/>
          </w:tcPr>
          <w:p w14:paraId="0AF50B0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Причина/примечание</w:t>
            </w:r>
          </w:p>
        </w:tc>
      </w:tr>
      <w:tr w:rsidR="00FD238F" w:rsidRPr="00FD238F" w14:paraId="4D9811CB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4025925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7C6AEBB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Физическое развитие и здоровье</w:t>
            </w:r>
          </w:p>
        </w:tc>
        <w:tc>
          <w:tcPr>
            <w:tcW w:w="114" w:type="pct"/>
            <w:shd w:val="clear" w:color="auto" w:fill="FFFFFF"/>
          </w:tcPr>
          <w:p w14:paraId="2CE0BCF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44BE3DA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Соответствует возрасту и нормам развития</w:t>
            </w:r>
          </w:p>
        </w:tc>
        <w:tc>
          <w:tcPr>
            <w:tcW w:w="517" w:type="pct"/>
            <w:shd w:val="clear" w:color="auto" w:fill="FFFFFF"/>
          </w:tcPr>
          <w:p w14:paraId="514FF50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378D53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268BFB3D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5DEF73C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4639B41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2EBEE0E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6BC6ABC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Соответствует нижним границам нормы</w:t>
            </w:r>
          </w:p>
        </w:tc>
        <w:tc>
          <w:tcPr>
            <w:tcW w:w="517" w:type="pct"/>
            <w:shd w:val="clear" w:color="auto" w:fill="FFFFFF"/>
          </w:tcPr>
          <w:p w14:paraId="3FB8AB1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2A87607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ECEBE99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332165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139111B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3F61F6E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2C497F5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Повышенный уровень травматизма у детей, не связанный с подозрением на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жестокое обращение</w:t>
            </w:r>
          </w:p>
        </w:tc>
        <w:tc>
          <w:tcPr>
            <w:tcW w:w="517" w:type="pct"/>
            <w:shd w:val="clear" w:color="auto" w:fill="FFFFFF"/>
          </w:tcPr>
          <w:p w14:paraId="1AA7FA4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938B04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2E6014B2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C72DFA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DF9FA7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4A0B162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265E9FD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Тяжелые хронические заболевания, инвалидность</w:t>
            </w:r>
          </w:p>
        </w:tc>
        <w:tc>
          <w:tcPr>
            <w:tcW w:w="517" w:type="pct"/>
            <w:shd w:val="clear" w:color="auto" w:fill="FFFFFF"/>
          </w:tcPr>
          <w:p w14:paraId="1727506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5A45447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F5E4E52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706C27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195FF66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17B86D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4AF1726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Признаки отсутствия ухода и заботы о ребенка (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несвоевременное обращение в медицинскую организацию, 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lastRenderedPageBreak/>
              <w:t>отсутствие одежды по сезону и размеру, неприятный запах, состояние постоянного голода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пеленочная сыпь и т.д.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).</w:t>
            </w:r>
          </w:p>
        </w:tc>
        <w:tc>
          <w:tcPr>
            <w:tcW w:w="517" w:type="pct"/>
            <w:shd w:val="clear" w:color="auto" w:fill="FFFFFF"/>
          </w:tcPr>
          <w:p w14:paraId="2BBF848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6D4C337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878F6A4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7FEF525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1B37AAE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Эмоциональное состояние</w:t>
            </w:r>
          </w:p>
        </w:tc>
        <w:tc>
          <w:tcPr>
            <w:tcW w:w="114" w:type="pct"/>
            <w:shd w:val="clear" w:color="auto" w:fill="FFFFFF"/>
          </w:tcPr>
          <w:p w14:paraId="41A52AB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7864F93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Эмоциональный фон преимущественно ровный (при стрессе восстанавливается самостоятельно)</w:t>
            </w:r>
          </w:p>
        </w:tc>
        <w:tc>
          <w:tcPr>
            <w:tcW w:w="517" w:type="pct"/>
            <w:shd w:val="clear" w:color="auto" w:fill="FFFFFF"/>
          </w:tcPr>
          <w:p w14:paraId="54BA609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D17789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596E487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39AD29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558E8D2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8C8F86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30EDE02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Эмоциональный фон преимущественно ровный (при стрессе восстанавливается при помощи и поддержке)</w:t>
            </w:r>
          </w:p>
        </w:tc>
        <w:tc>
          <w:tcPr>
            <w:tcW w:w="517" w:type="pct"/>
            <w:shd w:val="clear" w:color="auto" w:fill="FFFFFF"/>
          </w:tcPr>
          <w:p w14:paraId="30BD317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651FF21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B52C753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58C9BAC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4E10274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CC0DD8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6E00AB4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Эмоциональный фон преимущественно снижен (ребенок может быть в состоянии тревоги и (или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печали,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обидчивость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плаксивость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боязливость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)</w:t>
            </w:r>
          </w:p>
        </w:tc>
        <w:tc>
          <w:tcPr>
            <w:tcW w:w="517" w:type="pct"/>
            <w:shd w:val="clear" w:color="auto" w:fill="FFFFFF"/>
          </w:tcPr>
          <w:p w14:paraId="2AB8F94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153FCAC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A8BD011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41B59A3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6EEADCE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432902A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175782D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Эмоциональный фон избыточно завышен (требуется постороннее усилие, чтобы ребенок успокоился)</w:t>
            </w:r>
          </w:p>
        </w:tc>
        <w:tc>
          <w:tcPr>
            <w:tcW w:w="517" w:type="pct"/>
            <w:shd w:val="clear" w:color="auto" w:fill="FFFFFF"/>
          </w:tcPr>
          <w:p w14:paraId="1342E7C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8C2218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E3DC1B8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00B9E83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770EE0E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0D78E2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38748FF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Проявление агрессии и импульсивности, которая сменяется апатией 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или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подавленным состоянием</w:t>
            </w:r>
          </w:p>
        </w:tc>
        <w:tc>
          <w:tcPr>
            <w:tcW w:w="517" w:type="pct"/>
            <w:shd w:val="clear" w:color="auto" w:fill="FFFFFF"/>
          </w:tcPr>
          <w:p w14:paraId="6AC4840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1009ACF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23DADBF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023D93F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F619E8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2F0B854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862" w:type="pct"/>
            <w:shd w:val="clear" w:color="auto" w:fill="FFFFFF"/>
          </w:tcPr>
          <w:p w14:paraId="6805A6C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Избегание внешних контактов, склонность к уединению, сонливость, суицидальные мысли</w:t>
            </w:r>
          </w:p>
        </w:tc>
        <w:tc>
          <w:tcPr>
            <w:tcW w:w="517" w:type="pct"/>
            <w:shd w:val="clear" w:color="auto" w:fill="FFFFFF"/>
          </w:tcPr>
          <w:p w14:paraId="3BDCD96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228DBAA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F1E0E66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033F4A8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E1A3A1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3F3253A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7</w:t>
            </w:r>
          </w:p>
        </w:tc>
        <w:tc>
          <w:tcPr>
            <w:tcW w:w="1862" w:type="pct"/>
            <w:shd w:val="clear" w:color="auto" w:fill="FFFFFF"/>
          </w:tcPr>
          <w:p w14:paraId="08C0F8D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Суицидальные поступки</w:t>
            </w:r>
          </w:p>
        </w:tc>
        <w:tc>
          <w:tcPr>
            <w:tcW w:w="517" w:type="pct"/>
            <w:shd w:val="clear" w:color="auto" w:fill="FFFFFF"/>
          </w:tcPr>
          <w:p w14:paraId="6E17975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1A15BDC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CE4FFC8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4F1B451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643705C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Признаки психологического, физического, сексуального насилия</w:t>
            </w:r>
          </w:p>
        </w:tc>
        <w:tc>
          <w:tcPr>
            <w:tcW w:w="114" w:type="pct"/>
          </w:tcPr>
          <w:p w14:paraId="2DE5B5DB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ru" w:eastAsia="ru-RU"/>
              </w:rPr>
            </w:pPr>
            <w:r w:rsidRPr="00FD238F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ru" w:eastAsia="ru-RU"/>
              </w:rPr>
              <w:t>1</w:t>
            </w:r>
          </w:p>
        </w:tc>
        <w:tc>
          <w:tcPr>
            <w:tcW w:w="1862" w:type="pct"/>
            <w:shd w:val="clear" w:color="auto" w:fill="auto"/>
          </w:tcPr>
          <w:p w14:paraId="607E511F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</w:pP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Признаки отсутствуют</w:t>
            </w:r>
          </w:p>
        </w:tc>
        <w:tc>
          <w:tcPr>
            <w:tcW w:w="517" w:type="pct"/>
            <w:shd w:val="clear" w:color="auto" w:fill="FFFFFF"/>
          </w:tcPr>
          <w:p w14:paraId="68FB05C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11A66C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0DA86EF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28359DA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BEE211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</w:tcPr>
          <w:p w14:paraId="6978D1F0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862" w:type="pct"/>
            <w:shd w:val="clear" w:color="auto" w:fill="auto"/>
          </w:tcPr>
          <w:p w14:paraId="5B1AC8D1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Отсутствие необходимых предметов для занятий (учебники, канцтовары).</w:t>
            </w:r>
          </w:p>
        </w:tc>
        <w:tc>
          <w:tcPr>
            <w:tcW w:w="517" w:type="pct"/>
            <w:shd w:val="clear" w:color="auto" w:fill="FFFFFF"/>
          </w:tcPr>
          <w:p w14:paraId="2D96D19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DF37BA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D7CADC4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A77688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1F2A80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</w:tcPr>
          <w:p w14:paraId="55245D2C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ru" w:eastAsia="ru-RU"/>
              </w:rPr>
            </w:pPr>
            <w:r w:rsidRPr="00FD238F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  <w:lang w:val="ru" w:eastAsia="ru-RU"/>
              </w:rPr>
              <w:t>3</w:t>
            </w:r>
          </w:p>
        </w:tc>
        <w:tc>
          <w:tcPr>
            <w:tcW w:w="1862" w:type="pct"/>
            <w:shd w:val="clear" w:color="auto" w:fill="auto"/>
          </w:tcPr>
          <w:p w14:paraId="6F1731E8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</w:pP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Избегание ребенком разговоров об отношениях в семье. Нежелание возвращаться домой после д/с или школы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/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самовольные уходы</w:t>
            </w:r>
            <w:r w:rsidRPr="00FD238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.</w:t>
            </w:r>
          </w:p>
        </w:tc>
        <w:tc>
          <w:tcPr>
            <w:tcW w:w="517" w:type="pct"/>
            <w:shd w:val="clear" w:color="auto" w:fill="FFFFFF"/>
          </w:tcPr>
          <w:p w14:paraId="67E288B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8A3C2F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825853E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73231F3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571EAE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</w:tcPr>
          <w:p w14:paraId="1E4DA36B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862" w:type="pct"/>
            <w:shd w:val="clear" w:color="auto" w:fill="auto"/>
          </w:tcPr>
          <w:p w14:paraId="2383113F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Реакция испуга на любые прикосновения, громкие звуки, плач других детей, повышение голоса</w:t>
            </w:r>
          </w:p>
        </w:tc>
        <w:tc>
          <w:tcPr>
            <w:tcW w:w="517" w:type="pct"/>
            <w:shd w:val="clear" w:color="auto" w:fill="FFFFFF"/>
          </w:tcPr>
          <w:p w14:paraId="76395B6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11745D2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F364ECA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275759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3F2CE21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</w:tcPr>
          <w:p w14:paraId="37E99991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1862" w:type="pct"/>
            <w:shd w:val="clear" w:color="auto" w:fill="auto"/>
          </w:tcPr>
          <w:p w14:paraId="17B51F07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Жестокость по отношению к животным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/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слабым детям. Навязчивые действия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/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игры сексуального характера</w:t>
            </w:r>
          </w:p>
        </w:tc>
        <w:tc>
          <w:tcPr>
            <w:tcW w:w="517" w:type="pct"/>
            <w:shd w:val="clear" w:color="auto" w:fill="FFFFFF"/>
          </w:tcPr>
          <w:p w14:paraId="1A7410B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1B2B0D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DA9942B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17987C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7E5BBD6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</w:tcPr>
          <w:p w14:paraId="207D2063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862" w:type="pct"/>
            <w:shd w:val="clear" w:color="auto" w:fill="auto"/>
          </w:tcPr>
          <w:p w14:paraId="7B502A09" w14:textId="77777777" w:rsidR="00FD238F" w:rsidRPr="00FD238F" w:rsidRDefault="00FD238F" w:rsidP="00FD238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Явные признаки физического и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или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сексуального насилия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(ожоги, гематомы от ударов, </w:t>
            </w:r>
            <w:r w:rsidRPr="00FD238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раны, нанесенные колющими или режущими предметами, следы крови на одежде и др.)</w:t>
            </w:r>
          </w:p>
        </w:tc>
        <w:tc>
          <w:tcPr>
            <w:tcW w:w="517" w:type="pct"/>
            <w:shd w:val="clear" w:color="auto" w:fill="FFFFFF"/>
          </w:tcPr>
          <w:p w14:paraId="4D69A4B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68DFD2D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CAD63D0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1DA629B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0A9A065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Интеллектуальное развитие</w:t>
            </w:r>
          </w:p>
        </w:tc>
        <w:tc>
          <w:tcPr>
            <w:tcW w:w="114" w:type="pct"/>
            <w:shd w:val="clear" w:color="auto" w:fill="FFFFFF"/>
          </w:tcPr>
          <w:p w14:paraId="51F2742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5D5DC9C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Соответствует возрасту и нормам развития (справляется с образовательной программой)</w:t>
            </w:r>
          </w:p>
        </w:tc>
        <w:tc>
          <w:tcPr>
            <w:tcW w:w="517" w:type="pct"/>
            <w:shd w:val="clear" w:color="auto" w:fill="FFFFFF"/>
          </w:tcPr>
          <w:p w14:paraId="72122B6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E173DD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4253C5B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42DAE73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62E451B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6C1EB5A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712CF83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Соответствует нижним границам нормы (справляется с образовательной программой при участии взрослого)</w:t>
            </w:r>
          </w:p>
        </w:tc>
        <w:tc>
          <w:tcPr>
            <w:tcW w:w="517" w:type="pct"/>
            <w:shd w:val="clear" w:color="auto" w:fill="FFFFFF"/>
          </w:tcPr>
          <w:p w14:paraId="653BBA6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F6C2DC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28AFEB86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3893BB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12C487F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8A1CAB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11EA346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Не справляется с образовательной программой</w:t>
            </w:r>
          </w:p>
        </w:tc>
        <w:tc>
          <w:tcPr>
            <w:tcW w:w="517" w:type="pct"/>
            <w:shd w:val="clear" w:color="auto" w:fill="FFFFFF"/>
          </w:tcPr>
          <w:p w14:paraId="60E94B8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1035A6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D741E25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7FEB3FE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7EFE908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06FB533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72B3A25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Задержка развития, педагогическая запущенность</w:t>
            </w:r>
          </w:p>
        </w:tc>
        <w:tc>
          <w:tcPr>
            <w:tcW w:w="517" w:type="pct"/>
            <w:shd w:val="clear" w:color="auto" w:fill="FFFFFF"/>
          </w:tcPr>
          <w:p w14:paraId="7068DDF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2193E3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00A7B01A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0AB52F5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63E5C21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0052FF7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0B2014D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Умственная отсталость</w:t>
            </w:r>
          </w:p>
        </w:tc>
        <w:tc>
          <w:tcPr>
            <w:tcW w:w="517" w:type="pct"/>
            <w:shd w:val="clear" w:color="auto" w:fill="FFFFFF"/>
          </w:tcPr>
          <w:p w14:paraId="68CB1E1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534E5F3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6FB3C3F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C1B973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9859EB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662656C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862" w:type="pct"/>
            <w:shd w:val="clear" w:color="auto" w:fill="FFFFFF"/>
          </w:tcPr>
          <w:p w14:paraId="67DAEB2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Отсутствует доступ к развитию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(отсутствие минимальных, соответствующих возрасту книг, игрушек, учебных принадлежностей, запрет на прогулки, выход из дома, посещение учреждений доп. образования и т.д.)</w:t>
            </w:r>
          </w:p>
        </w:tc>
        <w:tc>
          <w:tcPr>
            <w:tcW w:w="517" w:type="pct"/>
            <w:shd w:val="clear" w:color="auto" w:fill="FFFFFF"/>
          </w:tcPr>
          <w:p w14:paraId="547C041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4B6E1A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FB470F4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4F433DC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61A54BD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Образовательная деятельность</w:t>
            </w:r>
          </w:p>
        </w:tc>
        <w:tc>
          <w:tcPr>
            <w:tcW w:w="114" w:type="pct"/>
            <w:shd w:val="clear" w:color="auto" w:fill="FFFFFF"/>
          </w:tcPr>
          <w:p w14:paraId="1D5C37F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75DB36D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Посещает образовательную организацию,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отсутствует неудовлетворительные оценки по итогам учебных периодов, пропуски без уважительных причин</w:t>
            </w:r>
          </w:p>
        </w:tc>
        <w:tc>
          <w:tcPr>
            <w:tcW w:w="517" w:type="pct"/>
            <w:shd w:val="clear" w:color="auto" w:fill="FFFFFF"/>
          </w:tcPr>
          <w:p w14:paraId="75D501C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7B2C17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6B67392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785E3D7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5269161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2482113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2CDADA5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Отсутствует неудовлетворительные оценки по итогам учебных периодов, наличие пропусков без уважительных причин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школы/детского сада</w:t>
            </w:r>
          </w:p>
        </w:tc>
        <w:tc>
          <w:tcPr>
            <w:tcW w:w="517" w:type="pct"/>
            <w:shd w:val="clear" w:color="auto" w:fill="FFFFFF"/>
          </w:tcPr>
          <w:p w14:paraId="62F755B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5A0D92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790CD3E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07C84C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3FF815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C12C54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1726C4E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Имеются неудовлетворительные оценки по итогам учебных периодов и/или пропуски без уважительных причин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17" w:type="pct"/>
            <w:shd w:val="clear" w:color="auto" w:fill="FFFFFF"/>
          </w:tcPr>
          <w:p w14:paraId="455CADC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F839FA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F5DF33D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91E9BD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464E4D0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44EE7E1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0C67B25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Неудовлетворительные оценки по итогам учебных периодов более 50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% 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или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пропуски без уважительных причин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17" w:type="pct"/>
            <w:shd w:val="clear" w:color="auto" w:fill="FFFFFF"/>
          </w:tcPr>
          <w:p w14:paraId="01325F3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047CB5F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A9E6919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249521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1DE4E2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6868672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08497C1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Остается на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второй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год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обучения</w:t>
            </w:r>
          </w:p>
        </w:tc>
        <w:tc>
          <w:tcPr>
            <w:tcW w:w="517" w:type="pct"/>
            <w:shd w:val="clear" w:color="auto" w:fill="FFFFFF"/>
          </w:tcPr>
          <w:p w14:paraId="06293D3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71D504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8EB4577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A32B6B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3698E4D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228F31A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862" w:type="pct"/>
            <w:shd w:val="clear" w:color="auto" w:fill="FFFFFF"/>
          </w:tcPr>
          <w:p w14:paraId="6A713DB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Не посещает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образовательную организацию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без уважительной причины</w:t>
            </w:r>
          </w:p>
        </w:tc>
        <w:tc>
          <w:tcPr>
            <w:tcW w:w="517" w:type="pct"/>
            <w:shd w:val="clear" w:color="auto" w:fill="FFFFFF"/>
          </w:tcPr>
          <w:p w14:paraId="155A8CF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DDE017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6A88EFC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54D4BD2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0069294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Социальное поведение</w:t>
            </w:r>
          </w:p>
        </w:tc>
        <w:tc>
          <w:tcPr>
            <w:tcW w:w="114" w:type="pct"/>
            <w:shd w:val="clear" w:color="auto" w:fill="FFFFFF"/>
          </w:tcPr>
          <w:p w14:paraId="5D60834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5A98D40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Соответствует возрасту и нормам развития (знает и соблюдает социальные правила и нормы,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lastRenderedPageBreak/>
              <w:t>знает права, обязанности, умеет выстраивать коммуникации и т.д.)</w:t>
            </w:r>
          </w:p>
        </w:tc>
        <w:tc>
          <w:tcPr>
            <w:tcW w:w="517" w:type="pct"/>
            <w:shd w:val="clear" w:color="auto" w:fill="FFFFFF"/>
          </w:tcPr>
          <w:p w14:paraId="340B9A6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C2EB37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67601D6B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B824BC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0A3447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286D4F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59A4B6A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Соответствует нижним границам нормы (соблюдает социальные правила и нормы, знает права, обязанности, умеет выстраивать коммуникации и т.д. при поддержке и контроле взрослого)</w:t>
            </w:r>
          </w:p>
        </w:tc>
        <w:tc>
          <w:tcPr>
            <w:tcW w:w="517" w:type="pct"/>
            <w:shd w:val="clear" w:color="auto" w:fill="FFFFFF"/>
          </w:tcPr>
          <w:p w14:paraId="1EFF6552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6DEAB5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3AE8EF4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6D55728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02178B0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C3D20E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3023E87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но ориентируется на мнение 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или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замечания значимых взрослых</w:t>
            </w:r>
          </w:p>
        </w:tc>
        <w:tc>
          <w:tcPr>
            <w:tcW w:w="517" w:type="pct"/>
            <w:shd w:val="clear" w:color="auto" w:fill="FFFFFF"/>
          </w:tcPr>
          <w:p w14:paraId="6C9A87C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F56E57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E586F8F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AAEF67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453111A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06804F1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03675AD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Не соответствует возрасту и нормам развития (не соблюдает социальные правила и нормы, не знает права, обязанности, не умеет выстраивать коммуникации и т.д.), авторитет взрослых не признает</w:t>
            </w:r>
          </w:p>
        </w:tc>
        <w:tc>
          <w:tcPr>
            <w:tcW w:w="517" w:type="pct"/>
            <w:shd w:val="clear" w:color="auto" w:fill="FFFFFF"/>
          </w:tcPr>
          <w:p w14:paraId="2F1474A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ECCB56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01CA2DC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1BCA8C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DA490D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1D56910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1D06A777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Девиантное поведение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(отклоняющиеся от нормы)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</w:t>
            </w: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действия, противоречащие правилам, социальным нормам или требованиям, принятым в определенной среде</w:t>
            </w:r>
          </w:p>
        </w:tc>
        <w:tc>
          <w:tcPr>
            <w:tcW w:w="517" w:type="pct"/>
            <w:shd w:val="clear" w:color="auto" w:fill="FFFFFF"/>
          </w:tcPr>
          <w:p w14:paraId="2353459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CA2798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1C2CF1AE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5A0869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6A5869A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CDA363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862" w:type="pct"/>
            <w:shd w:val="clear" w:color="auto" w:fill="FFFFFF"/>
          </w:tcPr>
          <w:p w14:paraId="3A5E89D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proofErr w:type="spellStart"/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Делинкветное</w:t>
            </w:r>
            <w:proofErr w:type="spellEnd"/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 xml:space="preserve"> поведение (асоциальное/противоправное поведение) – антиобщественное противоправное поведение человека, воплощенное в его проступках (действиях или бездействии), наносящих вред как отдельным гражданам, так и обществу в целом.</w:t>
            </w:r>
          </w:p>
        </w:tc>
        <w:tc>
          <w:tcPr>
            <w:tcW w:w="517" w:type="pct"/>
            <w:shd w:val="clear" w:color="auto" w:fill="FFFFFF"/>
          </w:tcPr>
          <w:p w14:paraId="57DAB6E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7CA68AE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39E0BC4" w14:textId="77777777" w:rsidTr="00D9121C">
        <w:trPr>
          <w:trHeight w:val="506"/>
        </w:trPr>
        <w:tc>
          <w:tcPr>
            <w:tcW w:w="138" w:type="pct"/>
            <w:vMerge w:val="restart"/>
            <w:shd w:val="clear" w:color="auto" w:fill="FFFFFF"/>
          </w:tcPr>
          <w:p w14:paraId="0340679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7</w:t>
            </w:r>
          </w:p>
        </w:tc>
        <w:tc>
          <w:tcPr>
            <w:tcW w:w="1091" w:type="pct"/>
            <w:vMerge w:val="restart"/>
            <w:shd w:val="clear" w:color="auto" w:fill="FFFFFF"/>
          </w:tcPr>
          <w:p w14:paraId="58D3F63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Внешкольное общение</w:t>
            </w:r>
          </w:p>
        </w:tc>
        <w:tc>
          <w:tcPr>
            <w:tcW w:w="114" w:type="pct"/>
            <w:shd w:val="clear" w:color="auto" w:fill="FFFFFF"/>
          </w:tcPr>
          <w:p w14:paraId="569938F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862" w:type="pct"/>
            <w:shd w:val="clear" w:color="auto" w:fill="FFFFFF"/>
          </w:tcPr>
          <w:p w14:paraId="4F2BCAFA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Активно включен во внеучебную деятельность, регулярно посещает мероприятия, студии, секции</w:t>
            </w:r>
          </w:p>
        </w:tc>
        <w:tc>
          <w:tcPr>
            <w:tcW w:w="517" w:type="pct"/>
            <w:shd w:val="clear" w:color="auto" w:fill="FFFFFF"/>
          </w:tcPr>
          <w:p w14:paraId="5E16B1D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27B1307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BD92B6E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71364EA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4B74E89C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F0C977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862" w:type="pct"/>
            <w:shd w:val="clear" w:color="auto" w:fill="FFFFFF"/>
          </w:tcPr>
          <w:p w14:paraId="011C890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Пассивно включен во внеучебную деятельность, посещает мероприятия, студии, секции</w:t>
            </w:r>
          </w:p>
        </w:tc>
        <w:tc>
          <w:tcPr>
            <w:tcW w:w="517" w:type="pct"/>
            <w:shd w:val="clear" w:color="auto" w:fill="FFFFFF"/>
          </w:tcPr>
          <w:p w14:paraId="3EC28E1E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8D2D8E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419C835B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3563F64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56ECAB8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07E60A5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3</w:t>
            </w:r>
          </w:p>
        </w:tc>
        <w:tc>
          <w:tcPr>
            <w:tcW w:w="1862" w:type="pct"/>
            <w:shd w:val="clear" w:color="auto" w:fill="FFFFFF"/>
          </w:tcPr>
          <w:p w14:paraId="1B4E6FA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Несистемное досуговое общение по интересам</w:t>
            </w:r>
          </w:p>
        </w:tc>
        <w:tc>
          <w:tcPr>
            <w:tcW w:w="517" w:type="pct"/>
            <w:shd w:val="clear" w:color="auto" w:fill="FFFFFF"/>
          </w:tcPr>
          <w:p w14:paraId="2B1E787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AFF5CE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526F8087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2C6807B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DFBA54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2A018E4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4</w:t>
            </w:r>
          </w:p>
        </w:tc>
        <w:tc>
          <w:tcPr>
            <w:tcW w:w="1862" w:type="pct"/>
            <w:shd w:val="clear" w:color="auto" w:fill="FFFFFF"/>
          </w:tcPr>
          <w:p w14:paraId="18BC3E0B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Избегает внешкольное общение и организованный досуг</w:t>
            </w:r>
          </w:p>
        </w:tc>
        <w:tc>
          <w:tcPr>
            <w:tcW w:w="517" w:type="pct"/>
            <w:shd w:val="clear" w:color="auto" w:fill="FFFFFF"/>
          </w:tcPr>
          <w:p w14:paraId="08A4F65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3B8AAF2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2D6D380A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1AA2AEC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6E190706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512F6A7D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5</w:t>
            </w:r>
          </w:p>
        </w:tc>
        <w:tc>
          <w:tcPr>
            <w:tcW w:w="1862" w:type="pct"/>
            <w:shd w:val="clear" w:color="auto" w:fill="FFFFFF"/>
          </w:tcPr>
          <w:p w14:paraId="23151A4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Подвержен влиянию асоциальных лидеров</w:t>
            </w:r>
          </w:p>
        </w:tc>
        <w:tc>
          <w:tcPr>
            <w:tcW w:w="517" w:type="pct"/>
            <w:shd w:val="clear" w:color="auto" w:fill="FFFFFF"/>
          </w:tcPr>
          <w:p w14:paraId="7B9CBEB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474E99C0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  <w:tr w:rsidR="00FD238F" w:rsidRPr="00FD238F" w14:paraId="3E712941" w14:textId="77777777" w:rsidTr="00D9121C">
        <w:trPr>
          <w:trHeight w:val="506"/>
        </w:trPr>
        <w:tc>
          <w:tcPr>
            <w:tcW w:w="138" w:type="pct"/>
            <w:vMerge/>
            <w:shd w:val="clear" w:color="auto" w:fill="FFFFFF"/>
          </w:tcPr>
          <w:p w14:paraId="520B9094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091" w:type="pct"/>
            <w:vMerge/>
            <w:shd w:val="clear" w:color="auto" w:fill="FFFFFF"/>
          </w:tcPr>
          <w:p w14:paraId="20B65968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14" w:type="pct"/>
            <w:shd w:val="clear" w:color="auto" w:fill="FFFFFF"/>
          </w:tcPr>
          <w:p w14:paraId="0E90A3E1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6</w:t>
            </w:r>
          </w:p>
        </w:tc>
        <w:tc>
          <w:tcPr>
            <w:tcW w:w="1862" w:type="pct"/>
            <w:shd w:val="clear" w:color="auto" w:fill="FFFFFF"/>
          </w:tcPr>
          <w:p w14:paraId="5DEBB1F3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F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  <w:t>Является инициатором нарушений, оказывает влияние на слабых, организует группировки</w:t>
            </w:r>
          </w:p>
        </w:tc>
        <w:tc>
          <w:tcPr>
            <w:tcW w:w="517" w:type="pct"/>
            <w:shd w:val="clear" w:color="auto" w:fill="FFFFFF"/>
          </w:tcPr>
          <w:p w14:paraId="36168E7F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278" w:type="pct"/>
            <w:shd w:val="clear" w:color="auto" w:fill="FFFFFF"/>
          </w:tcPr>
          <w:p w14:paraId="1A656219" w14:textId="77777777" w:rsidR="00FD238F" w:rsidRPr="00FD238F" w:rsidRDefault="00FD238F" w:rsidP="00FD238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</w:p>
        </w:tc>
      </w:tr>
    </w:tbl>
    <w:p w14:paraId="16488A18" w14:textId="77777777" w:rsidR="00FD238F" w:rsidRPr="00FD238F" w:rsidRDefault="00FD238F" w:rsidP="00FD2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7E66846" w14:textId="77777777" w:rsidR="00FD238F" w:rsidRPr="00FD238F" w:rsidRDefault="00FD238F" w:rsidP="00FD2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238F">
        <w:rPr>
          <w:rFonts w:ascii="Times New Roman" w:eastAsia="Times New Roman" w:hAnsi="Times New Roman" w:cs="Times New Roman"/>
          <w:sz w:val="28"/>
          <w:szCs w:val="24"/>
        </w:rPr>
        <w:t>Цель</w:t>
      </w:r>
      <w:r w:rsidRPr="00FD238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D238F">
        <w:rPr>
          <w:rFonts w:ascii="Times New Roman" w:eastAsia="Times New Roman" w:hAnsi="Times New Roman" w:cs="Times New Roman"/>
          <w:sz w:val="28"/>
          <w:szCs w:val="24"/>
        </w:rPr>
        <w:t>проведения данной работы</w:t>
      </w:r>
      <w:r w:rsidRPr="00FD238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D238F">
        <w:rPr>
          <w:rFonts w:ascii="Times New Roman" w:eastAsia="Times New Roman" w:hAnsi="Times New Roman" w:cs="Times New Roman"/>
          <w:sz w:val="28"/>
          <w:szCs w:val="24"/>
        </w:rPr>
        <w:t>– выявление показателей и причин, определяющих уровень риска неблагополучия ребенка.</w:t>
      </w:r>
    </w:p>
    <w:p w14:paraId="5D3B300D" w14:textId="77777777" w:rsidR="00FD238F" w:rsidRPr="00FD238F" w:rsidRDefault="00FD238F" w:rsidP="00FD23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D238F">
        <w:rPr>
          <w:rFonts w:ascii="Times New Roman" w:eastAsia="Calibri" w:hAnsi="Times New Roman" w:cs="Times New Roman"/>
          <w:sz w:val="28"/>
          <w:szCs w:val="24"/>
        </w:rPr>
        <w:t xml:space="preserve">Таблица заполняется тем специалистом, который в процессе своей деятельности регулярно, непосредственно контактирует с ребенком (классный руководитель, учитель, воспитатель, участковый педиатр, патронажная медицинская сестра, инспектор по делам несовершеннолетних). </w:t>
      </w:r>
    </w:p>
    <w:p w14:paraId="42AF4ED8" w14:textId="77777777" w:rsidR="00FD238F" w:rsidRPr="00FD238F" w:rsidRDefault="00FD238F" w:rsidP="00FD23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D238F">
        <w:rPr>
          <w:rFonts w:ascii="Times New Roman" w:eastAsia="Calibri" w:hAnsi="Times New Roman" w:cs="Times New Roman"/>
          <w:sz w:val="28"/>
          <w:szCs w:val="24"/>
        </w:rPr>
        <w:t xml:space="preserve">При заполнении таблицы следует поставить плюс напротив фактора, который вы расцениваете как присутствующий (в столбце «наличие»). Для каждого фактора, напротив которого стоит «+», следует обязательно написать причину/примечание, обосновывающее его наличие (кроме </w:t>
      </w:r>
      <w:proofErr w:type="spellStart"/>
      <w:r w:rsidRPr="00FD238F">
        <w:rPr>
          <w:rFonts w:ascii="Times New Roman" w:eastAsia="Calibri" w:hAnsi="Times New Roman" w:cs="Times New Roman"/>
          <w:sz w:val="28"/>
          <w:szCs w:val="24"/>
        </w:rPr>
        <w:t>п.1</w:t>
      </w:r>
      <w:proofErr w:type="spellEnd"/>
      <w:r w:rsidRPr="00FD238F">
        <w:rPr>
          <w:rFonts w:ascii="Times New Roman" w:eastAsia="Calibri" w:hAnsi="Times New Roman" w:cs="Times New Roman"/>
          <w:sz w:val="28"/>
          <w:szCs w:val="24"/>
        </w:rPr>
        <w:t xml:space="preserve"> каждого раздела). </w:t>
      </w:r>
    </w:p>
    <w:p w14:paraId="5A70926D" w14:textId="77777777" w:rsidR="00FD238F" w:rsidRPr="00FD238F" w:rsidRDefault="00FD238F" w:rsidP="00FD2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D238F">
        <w:rPr>
          <w:rFonts w:ascii="Times New Roman" w:eastAsia="Calibri" w:hAnsi="Times New Roman" w:cs="Times New Roman"/>
          <w:sz w:val="28"/>
          <w:szCs w:val="24"/>
        </w:rPr>
        <w:t>Медицинским работникам (участковый педиатр, патронажная медицинская сестра) допускается не заполнять критерии 3 – 7 таблицы, если указанные сведения для них не доступны.</w:t>
      </w:r>
    </w:p>
    <w:p w14:paraId="2BAE5742" w14:textId="77777777" w:rsidR="00FD238F" w:rsidRPr="00FD238F" w:rsidRDefault="00FD238F" w:rsidP="00FD2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A565BE3" w14:textId="77777777" w:rsidR="00FD238F" w:rsidRPr="00FD238F" w:rsidRDefault="00FD238F" w:rsidP="00FD2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E0FF64C" w14:textId="77777777" w:rsidR="00FD238F" w:rsidRPr="00FD238F" w:rsidRDefault="00FD238F" w:rsidP="00FD2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1EDFB833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D1"/>
    <w:rsid w:val="00240B26"/>
    <w:rsid w:val="00AA28D1"/>
    <w:rsid w:val="00D9121C"/>
    <w:rsid w:val="00F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ECCEA-2287-4AB3-B71B-7799806A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99"/>
    <w:rsid w:val="00FD238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D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2023-11-02T08:54:00Z</cp:lastPrinted>
  <dcterms:created xsi:type="dcterms:W3CDTF">2023-01-24T07:54:00Z</dcterms:created>
  <dcterms:modified xsi:type="dcterms:W3CDTF">2023-11-02T08:55:00Z</dcterms:modified>
</cp:coreProperties>
</file>